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42F7D" w14:textId="77777777" w:rsidR="0055131E" w:rsidRDefault="0055131E" w:rsidP="004E1A87">
      <w:pPr>
        <w:spacing w:after="0"/>
        <w:jc w:val="center"/>
        <w:rPr>
          <w:b/>
        </w:rPr>
      </w:pPr>
      <w:bookmarkStart w:id="0" w:name="_GoBack"/>
      <w:bookmarkEnd w:id="0"/>
    </w:p>
    <w:p w14:paraId="511ED408" w14:textId="28F5E879" w:rsidR="004E1A87" w:rsidRPr="00000B88" w:rsidRDefault="004E1A87" w:rsidP="004E1A87">
      <w:pPr>
        <w:spacing w:after="0"/>
        <w:jc w:val="center"/>
        <w:rPr>
          <w:b/>
        </w:rPr>
      </w:pPr>
      <w:r w:rsidRPr="00000B88">
        <w:rPr>
          <w:b/>
        </w:rPr>
        <w:t>ANEXO A</w:t>
      </w:r>
      <w:r w:rsidR="002517E8">
        <w:rPr>
          <w:b/>
        </w:rPr>
        <w:t>. PROPUESTA TÉCNICA</w:t>
      </w:r>
    </w:p>
    <w:p w14:paraId="759FFB9A" w14:textId="77777777" w:rsidR="00C33420" w:rsidRDefault="00C33420" w:rsidP="00B77002">
      <w:pPr>
        <w:jc w:val="both"/>
        <w:rPr>
          <w:b/>
        </w:rPr>
      </w:pPr>
    </w:p>
    <w:p w14:paraId="4C5AFC11" w14:textId="5FA91BE5" w:rsidR="00F73A02" w:rsidRPr="00F64E37" w:rsidRDefault="00F73A02" w:rsidP="00B77002">
      <w:pPr>
        <w:jc w:val="both"/>
        <w:rPr>
          <w:rFonts w:ascii="Calibri" w:hAnsi="Calibri" w:cs="Arial"/>
        </w:rPr>
      </w:pPr>
      <w:r w:rsidRPr="00F64E37">
        <w:rPr>
          <w:rFonts w:ascii="Calibri" w:hAnsi="Calibri" w:cs="Arial"/>
        </w:rPr>
        <w:t xml:space="preserve">Los Licitantes, para la presentación de sus proposiciones, deberán ajustarse estrictamente a los requisitos y especificaciones previstos en estas Bases, describiendo en forma amplia y detallada las características </w:t>
      </w:r>
      <w:r>
        <w:rPr>
          <w:rFonts w:ascii="Calibri" w:hAnsi="Calibri" w:cs="Arial"/>
        </w:rPr>
        <w:t>de lo</w:t>
      </w:r>
      <w:r w:rsidRPr="00F64E37">
        <w:rPr>
          <w:rFonts w:ascii="Calibri" w:hAnsi="Calibri" w:cs="Arial"/>
        </w:rPr>
        <w:t xml:space="preserve"> que están ofertando, bajo las condiciones siguientes: </w:t>
      </w:r>
    </w:p>
    <w:p w14:paraId="598505B8" w14:textId="77777777" w:rsidR="00F73A02" w:rsidRPr="00F64E37" w:rsidRDefault="00693E5E" w:rsidP="00B77002">
      <w:pPr>
        <w:jc w:val="both"/>
        <w:rPr>
          <w:rFonts w:ascii="Calibri" w:hAnsi="Calibri" w:cs="Arial"/>
        </w:rPr>
      </w:pPr>
      <w:r>
        <w:rPr>
          <w:rFonts w:ascii="Calibri" w:hAnsi="Calibri" w:cs="Arial"/>
          <w:b/>
        </w:rPr>
        <w:t xml:space="preserve">REQUERIMIENTOS PARA EL </w:t>
      </w:r>
      <w:r w:rsidR="00F73A02" w:rsidRPr="00F64E37">
        <w:rPr>
          <w:rFonts w:ascii="Calibri" w:hAnsi="Calibri" w:cs="Arial"/>
          <w:b/>
        </w:rPr>
        <w:t>SERVICIO</w:t>
      </w:r>
      <w:r w:rsidR="00F73A02" w:rsidRPr="00F64E37">
        <w:rPr>
          <w:rFonts w:ascii="Calibri" w:hAnsi="Calibri" w:cs="Arial"/>
        </w:rPr>
        <w:t xml:space="preserve">: </w:t>
      </w:r>
    </w:p>
    <w:p w14:paraId="5F39531C" w14:textId="77777777" w:rsidR="00F73A02" w:rsidRPr="00F64E37" w:rsidRDefault="00F73A02" w:rsidP="00F73A02">
      <w:pPr>
        <w:pStyle w:val="Prrafodelista"/>
        <w:numPr>
          <w:ilvl w:val="0"/>
          <w:numId w:val="7"/>
        </w:numPr>
        <w:spacing w:line="240" w:lineRule="auto"/>
        <w:contextualSpacing w:val="0"/>
        <w:jc w:val="both"/>
        <w:rPr>
          <w:rFonts w:ascii="Calibri" w:hAnsi="Calibri" w:cs="Arial"/>
          <w:b/>
        </w:rPr>
      </w:pPr>
      <w:r w:rsidRPr="00F64E37">
        <w:rPr>
          <w:rFonts w:ascii="Calibri" w:hAnsi="Calibri" w:cs="Arial"/>
          <w:b/>
        </w:rPr>
        <w:t>CONSUMIBLES</w:t>
      </w:r>
    </w:p>
    <w:p w14:paraId="35364F43" w14:textId="77777777" w:rsidR="00F73A02" w:rsidRPr="00F64E37" w:rsidRDefault="00F73A02" w:rsidP="00B77002">
      <w:pPr>
        <w:jc w:val="both"/>
        <w:rPr>
          <w:rFonts w:ascii="Calibri" w:hAnsi="Calibri" w:cs="Arial"/>
        </w:rPr>
      </w:pPr>
      <w:r w:rsidRPr="00F64E37">
        <w:rPr>
          <w:rFonts w:ascii="Calibri" w:hAnsi="Calibri" w:cs="Arial"/>
        </w:rPr>
        <w:t xml:space="preserve">El licitante ganador deberá proporcionar los </w:t>
      </w:r>
      <w:r w:rsidR="00982315">
        <w:rPr>
          <w:rFonts w:ascii="Calibri" w:hAnsi="Calibri" w:cs="Arial"/>
        </w:rPr>
        <w:t>consumibles para la</w:t>
      </w:r>
      <w:r>
        <w:rPr>
          <w:rFonts w:ascii="Calibri" w:hAnsi="Calibri" w:cs="Arial"/>
        </w:rPr>
        <w:t xml:space="preserve"> Delega</w:t>
      </w:r>
      <w:r w:rsidR="00166101">
        <w:rPr>
          <w:rFonts w:ascii="Calibri" w:hAnsi="Calibri" w:cs="Arial"/>
        </w:rPr>
        <w:t>ción de Chihuahua</w:t>
      </w:r>
      <w:r>
        <w:rPr>
          <w:rFonts w:ascii="Calibri" w:hAnsi="Calibri" w:cs="Arial"/>
        </w:rPr>
        <w:t xml:space="preserve"> </w:t>
      </w:r>
      <w:r w:rsidRPr="00F64E37">
        <w:rPr>
          <w:rFonts w:ascii="Calibri" w:hAnsi="Calibri" w:cs="Arial"/>
        </w:rPr>
        <w:t>de ac</w:t>
      </w:r>
      <w:r>
        <w:rPr>
          <w:rFonts w:ascii="Calibri" w:hAnsi="Calibri" w:cs="Arial"/>
        </w:rPr>
        <w:t xml:space="preserve">uerdo con lo establecido </w:t>
      </w:r>
      <w:r w:rsidRPr="00F64E37">
        <w:rPr>
          <w:rFonts w:ascii="Calibri" w:hAnsi="Calibri" w:cs="Arial"/>
        </w:rPr>
        <w:t>con las especificaciones señaladas</w:t>
      </w:r>
      <w:r>
        <w:rPr>
          <w:rFonts w:ascii="Calibri" w:hAnsi="Calibri" w:cs="Arial"/>
        </w:rPr>
        <w:t xml:space="preserve"> en la siguiente tabla “MEDIOS DE CONTRASTE” y con las cantidades establecidas en la misma</w:t>
      </w:r>
      <w:r w:rsidR="001D0B8F">
        <w:rPr>
          <w:rFonts w:ascii="Calibri" w:hAnsi="Calibri" w:cs="Arial"/>
        </w:rPr>
        <w:t>, resaltando que fueron incluidos dentro del Cuadró básico de Material de Curación.</w:t>
      </w:r>
    </w:p>
    <w:tbl>
      <w:tblPr>
        <w:tblStyle w:val="Tablaconcuadrcula"/>
        <w:tblW w:w="8985" w:type="dxa"/>
        <w:tblLayout w:type="fixed"/>
        <w:tblLook w:val="04A0" w:firstRow="1" w:lastRow="0" w:firstColumn="1" w:lastColumn="0" w:noHBand="0" w:noVBand="1"/>
      </w:tblPr>
      <w:tblGrid>
        <w:gridCol w:w="1140"/>
        <w:gridCol w:w="850"/>
        <w:gridCol w:w="4678"/>
        <w:gridCol w:w="1134"/>
        <w:gridCol w:w="1183"/>
      </w:tblGrid>
      <w:tr w:rsidR="00576773" w:rsidRPr="00000B88" w14:paraId="14470E2D" w14:textId="77777777" w:rsidTr="00DD5E12">
        <w:tc>
          <w:tcPr>
            <w:tcW w:w="1140" w:type="dxa"/>
          </w:tcPr>
          <w:p w14:paraId="7F8B7B01" w14:textId="77777777" w:rsidR="00576773" w:rsidRPr="00576773" w:rsidRDefault="00DD5E12" w:rsidP="00F73A02">
            <w:pPr>
              <w:jc w:val="center"/>
              <w:rPr>
                <w:b/>
              </w:rPr>
            </w:pPr>
            <w:r w:rsidRPr="00576773">
              <w:rPr>
                <w:b/>
              </w:rPr>
              <w:t>PARTIDA</w:t>
            </w:r>
          </w:p>
        </w:tc>
        <w:tc>
          <w:tcPr>
            <w:tcW w:w="850" w:type="dxa"/>
          </w:tcPr>
          <w:p w14:paraId="24FAC203" w14:textId="77777777" w:rsidR="00576773" w:rsidRPr="00576773" w:rsidRDefault="00576773" w:rsidP="00F73A02">
            <w:pPr>
              <w:jc w:val="center"/>
              <w:rPr>
                <w:b/>
              </w:rPr>
            </w:pPr>
            <w:r w:rsidRPr="00576773">
              <w:rPr>
                <w:b/>
              </w:rPr>
              <w:t>CLAVE</w:t>
            </w:r>
          </w:p>
        </w:tc>
        <w:tc>
          <w:tcPr>
            <w:tcW w:w="4678" w:type="dxa"/>
          </w:tcPr>
          <w:p w14:paraId="42F1AF40" w14:textId="77777777" w:rsidR="00576773" w:rsidRPr="00576773" w:rsidRDefault="00576773" w:rsidP="00F73A02">
            <w:pPr>
              <w:jc w:val="center"/>
              <w:rPr>
                <w:b/>
              </w:rPr>
            </w:pPr>
            <w:r w:rsidRPr="00576773">
              <w:rPr>
                <w:b/>
              </w:rPr>
              <w:t>MEDIOS DE CONTRASTE</w:t>
            </w:r>
          </w:p>
        </w:tc>
        <w:tc>
          <w:tcPr>
            <w:tcW w:w="1134" w:type="dxa"/>
          </w:tcPr>
          <w:p w14:paraId="4CDD1300" w14:textId="77777777" w:rsidR="00576773" w:rsidRPr="00576773" w:rsidRDefault="00576773" w:rsidP="00C64FAB">
            <w:pPr>
              <w:jc w:val="center"/>
              <w:rPr>
                <w:b/>
              </w:rPr>
            </w:pPr>
            <w:r w:rsidRPr="00576773">
              <w:rPr>
                <w:b/>
              </w:rPr>
              <w:t>MÍNIMO</w:t>
            </w:r>
          </w:p>
        </w:tc>
        <w:tc>
          <w:tcPr>
            <w:tcW w:w="1183" w:type="dxa"/>
          </w:tcPr>
          <w:p w14:paraId="582EBE4A" w14:textId="77777777" w:rsidR="00576773" w:rsidRPr="00576773" w:rsidRDefault="00576773" w:rsidP="00C64FAB">
            <w:pPr>
              <w:jc w:val="center"/>
              <w:rPr>
                <w:b/>
              </w:rPr>
            </w:pPr>
            <w:r w:rsidRPr="00576773">
              <w:rPr>
                <w:b/>
              </w:rPr>
              <w:t>MÁXIMO</w:t>
            </w:r>
          </w:p>
        </w:tc>
      </w:tr>
      <w:tr w:rsidR="00C33420" w:rsidRPr="00000B88" w14:paraId="3B19A4AE" w14:textId="77777777" w:rsidTr="00DD5E12">
        <w:tc>
          <w:tcPr>
            <w:tcW w:w="1140" w:type="dxa"/>
            <w:vMerge w:val="restart"/>
            <w:vAlign w:val="center"/>
          </w:tcPr>
          <w:p w14:paraId="04F7A067" w14:textId="77777777" w:rsidR="00C33420" w:rsidRPr="00865D62" w:rsidRDefault="00C33420" w:rsidP="00397939">
            <w:pPr>
              <w:jc w:val="center"/>
              <w:rPr>
                <w:b/>
                <w:sz w:val="20"/>
              </w:rPr>
            </w:pPr>
            <w:r>
              <w:rPr>
                <w:b/>
                <w:sz w:val="20"/>
              </w:rPr>
              <w:t>ÚNICA</w:t>
            </w:r>
          </w:p>
        </w:tc>
        <w:tc>
          <w:tcPr>
            <w:tcW w:w="7845" w:type="dxa"/>
            <w:gridSpan w:val="4"/>
          </w:tcPr>
          <w:p w14:paraId="2AD150E8" w14:textId="77777777" w:rsidR="00C33420" w:rsidRPr="00000B88" w:rsidRDefault="00C33420" w:rsidP="00C64FAB">
            <w:pPr>
              <w:rPr>
                <w:b/>
              </w:rPr>
            </w:pPr>
            <w:r w:rsidRPr="00000B88">
              <w:rPr>
                <w:b/>
              </w:rPr>
              <w:t>PARA TOMOGRAFÍA</w:t>
            </w:r>
          </w:p>
        </w:tc>
      </w:tr>
      <w:tr w:rsidR="00C33420" w:rsidRPr="00000B88" w14:paraId="413F7998" w14:textId="77777777" w:rsidTr="00DD5E12">
        <w:tc>
          <w:tcPr>
            <w:tcW w:w="1140" w:type="dxa"/>
            <w:vMerge/>
          </w:tcPr>
          <w:p w14:paraId="61CF7D3A" w14:textId="77777777" w:rsidR="00C33420" w:rsidRPr="00EB1B72" w:rsidRDefault="00C33420" w:rsidP="00C64FAB"/>
        </w:tc>
        <w:tc>
          <w:tcPr>
            <w:tcW w:w="850" w:type="dxa"/>
          </w:tcPr>
          <w:p w14:paraId="700407FD" w14:textId="77777777" w:rsidR="00C33420" w:rsidRPr="005054CA" w:rsidRDefault="00C33420" w:rsidP="00576773">
            <w:pPr>
              <w:jc w:val="center"/>
              <w:rPr>
                <w:sz w:val="20"/>
                <w:szCs w:val="20"/>
              </w:rPr>
            </w:pPr>
            <w:r w:rsidRPr="005054CA">
              <w:rPr>
                <w:sz w:val="20"/>
                <w:szCs w:val="20"/>
              </w:rPr>
              <w:t>1481</w:t>
            </w:r>
          </w:p>
        </w:tc>
        <w:tc>
          <w:tcPr>
            <w:tcW w:w="4678" w:type="dxa"/>
          </w:tcPr>
          <w:p w14:paraId="65B360A8" w14:textId="77777777" w:rsidR="00C33420" w:rsidRPr="005054CA" w:rsidRDefault="00C33420" w:rsidP="00C64FAB">
            <w:pPr>
              <w:rPr>
                <w:sz w:val="20"/>
                <w:szCs w:val="20"/>
              </w:rPr>
            </w:pPr>
            <w:r w:rsidRPr="005054CA">
              <w:rPr>
                <w:sz w:val="20"/>
                <w:szCs w:val="20"/>
              </w:rPr>
              <w:t>IOPROMIDA AL 62.3% DE 500ML</w:t>
            </w:r>
          </w:p>
        </w:tc>
        <w:tc>
          <w:tcPr>
            <w:tcW w:w="1134" w:type="dxa"/>
          </w:tcPr>
          <w:p w14:paraId="2D8FEEAA" w14:textId="77777777" w:rsidR="00C33420" w:rsidRPr="005054CA" w:rsidRDefault="00C33420" w:rsidP="00865D62">
            <w:pPr>
              <w:jc w:val="center"/>
              <w:rPr>
                <w:b/>
                <w:sz w:val="20"/>
                <w:szCs w:val="20"/>
              </w:rPr>
            </w:pPr>
            <w:r>
              <w:rPr>
                <w:b/>
                <w:sz w:val="20"/>
                <w:szCs w:val="20"/>
              </w:rPr>
              <w:t>160</w:t>
            </w:r>
          </w:p>
        </w:tc>
        <w:tc>
          <w:tcPr>
            <w:tcW w:w="1183" w:type="dxa"/>
          </w:tcPr>
          <w:p w14:paraId="05C3BD3D" w14:textId="77777777" w:rsidR="00C33420" w:rsidRPr="005054CA" w:rsidRDefault="00C33420" w:rsidP="00865D62">
            <w:pPr>
              <w:jc w:val="center"/>
              <w:rPr>
                <w:b/>
                <w:sz w:val="20"/>
                <w:szCs w:val="20"/>
              </w:rPr>
            </w:pPr>
            <w:r>
              <w:rPr>
                <w:b/>
                <w:sz w:val="20"/>
                <w:szCs w:val="20"/>
              </w:rPr>
              <w:t>4</w:t>
            </w:r>
            <w:r w:rsidRPr="005054CA">
              <w:rPr>
                <w:b/>
                <w:sz w:val="20"/>
                <w:szCs w:val="20"/>
              </w:rPr>
              <w:t>00</w:t>
            </w:r>
          </w:p>
        </w:tc>
      </w:tr>
      <w:tr w:rsidR="00C33420" w:rsidRPr="00000B88" w14:paraId="2D3DA3BA" w14:textId="77777777" w:rsidTr="00DD5E12">
        <w:tc>
          <w:tcPr>
            <w:tcW w:w="1140" w:type="dxa"/>
            <w:vMerge/>
          </w:tcPr>
          <w:p w14:paraId="3B288B0B" w14:textId="77777777" w:rsidR="00C33420" w:rsidRPr="00EB1B72" w:rsidRDefault="00C33420" w:rsidP="00C64FAB">
            <w:pPr>
              <w:rPr>
                <w:b/>
                <w:sz w:val="20"/>
              </w:rPr>
            </w:pPr>
          </w:p>
        </w:tc>
        <w:tc>
          <w:tcPr>
            <w:tcW w:w="7845" w:type="dxa"/>
            <w:gridSpan w:val="4"/>
          </w:tcPr>
          <w:p w14:paraId="1D6B0222" w14:textId="77777777" w:rsidR="00C33420" w:rsidRPr="005054CA" w:rsidRDefault="00C33420" w:rsidP="00576773">
            <w:pPr>
              <w:rPr>
                <w:b/>
                <w:sz w:val="20"/>
                <w:szCs w:val="20"/>
              </w:rPr>
            </w:pPr>
            <w:r w:rsidRPr="005054CA">
              <w:rPr>
                <w:b/>
                <w:szCs w:val="20"/>
              </w:rPr>
              <w:t>PARA RESONANCIA MAGNÉTICA</w:t>
            </w:r>
          </w:p>
        </w:tc>
      </w:tr>
      <w:tr w:rsidR="00C33420" w:rsidRPr="00000B88" w14:paraId="600CD793" w14:textId="77777777" w:rsidTr="00DD5E12">
        <w:tc>
          <w:tcPr>
            <w:tcW w:w="1140" w:type="dxa"/>
            <w:vMerge/>
          </w:tcPr>
          <w:p w14:paraId="30BED416" w14:textId="77777777" w:rsidR="00C33420" w:rsidRPr="00EB1B72" w:rsidRDefault="00C33420" w:rsidP="00C64FAB"/>
        </w:tc>
        <w:tc>
          <w:tcPr>
            <w:tcW w:w="850" w:type="dxa"/>
          </w:tcPr>
          <w:p w14:paraId="23DB2EB4" w14:textId="77777777" w:rsidR="00C33420" w:rsidRPr="005054CA" w:rsidRDefault="00C33420" w:rsidP="00576773">
            <w:pPr>
              <w:jc w:val="center"/>
              <w:rPr>
                <w:sz w:val="20"/>
                <w:szCs w:val="20"/>
              </w:rPr>
            </w:pPr>
            <w:r w:rsidRPr="005054CA">
              <w:rPr>
                <w:sz w:val="20"/>
                <w:szCs w:val="20"/>
              </w:rPr>
              <w:t>1491</w:t>
            </w:r>
          </w:p>
        </w:tc>
        <w:tc>
          <w:tcPr>
            <w:tcW w:w="4678" w:type="dxa"/>
          </w:tcPr>
          <w:p w14:paraId="2A9B79A5" w14:textId="77777777" w:rsidR="00C33420" w:rsidRPr="005054CA" w:rsidRDefault="00C33420" w:rsidP="00C64FAB">
            <w:pPr>
              <w:rPr>
                <w:sz w:val="20"/>
                <w:szCs w:val="20"/>
              </w:rPr>
            </w:pPr>
            <w:r w:rsidRPr="005054CA">
              <w:rPr>
                <w:sz w:val="20"/>
                <w:szCs w:val="20"/>
              </w:rPr>
              <w:t>GADOBUTROL 1.0 mmol/ml de 30ml</w:t>
            </w:r>
          </w:p>
        </w:tc>
        <w:tc>
          <w:tcPr>
            <w:tcW w:w="1134" w:type="dxa"/>
          </w:tcPr>
          <w:p w14:paraId="29968902" w14:textId="77777777" w:rsidR="00C33420" w:rsidRPr="005054CA" w:rsidRDefault="00C33420" w:rsidP="00865D62">
            <w:pPr>
              <w:jc w:val="center"/>
              <w:rPr>
                <w:b/>
                <w:sz w:val="20"/>
                <w:szCs w:val="20"/>
              </w:rPr>
            </w:pPr>
            <w:r>
              <w:rPr>
                <w:b/>
                <w:sz w:val="20"/>
                <w:szCs w:val="20"/>
              </w:rPr>
              <w:t>48</w:t>
            </w:r>
          </w:p>
        </w:tc>
        <w:tc>
          <w:tcPr>
            <w:tcW w:w="1183" w:type="dxa"/>
          </w:tcPr>
          <w:p w14:paraId="0F12D1F2" w14:textId="77777777" w:rsidR="00C33420" w:rsidRPr="005054CA" w:rsidRDefault="00C33420" w:rsidP="00FB4E3E">
            <w:pPr>
              <w:jc w:val="center"/>
              <w:rPr>
                <w:b/>
                <w:sz w:val="20"/>
                <w:szCs w:val="20"/>
              </w:rPr>
            </w:pPr>
            <w:r>
              <w:rPr>
                <w:b/>
                <w:sz w:val="20"/>
                <w:szCs w:val="20"/>
              </w:rPr>
              <w:t>120</w:t>
            </w:r>
          </w:p>
        </w:tc>
      </w:tr>
      <w:tr w:rsidR="00C33420" w:rsidRPr="00000B88" w14:paraId="034E3EE2" w14:textId="77777777" w:rsidTr="00DD5E12">
        <w:tc>
          <w:tcPr>
            <w:tcW w:w="1140" w:type="dxa"/>
            <w:vMerge/>
          </w:tcPr>
          <w:p w14:paraId="67B7181D" w14:textId="77777777" w:rsidR="00C33420" w:rsidRPr="00EB1B72" w:rsidRDefault="00C33420" w:rsidP="00C64FAB"/>
        </w:tc>
        <w:tc>
          <w:tcPr>
            <w:tcW w:w="7845" w:type="dxa"/>
            <w:gridSpan w:val="4"/>
          </w:tcPr>
          <w:p w14:paraId="7624F815" w14:textId="77777777" w:rsidR="00C33420" w:rsidRPr="005054CA" w:rsidRDefault="00C33420" w:rsidP="00576773">
            <w:pPr>
              <w:rPr>
                <w:b/>
                <w:sz w:val="20"/>
                <w:szCs w:val="20"/>
              </w:rPr>
            </w:pPr>
            <w:r w:rsidRPr="005054CA">
              <w:rPr>
                <w:b/>
                <w:szCs w:val="20"/>
              </w:rPr>
              <w:t>CONSUMIBLES</w:t>
            </w:r>
          </w:p>
        </w:tc>
      </w:tr>
      <w:tr w:rsidR="00C33420" w:rsidRPr="00000B88" w14:paraId="67B66591" w14:textId="77777777" w:rsidTr="00DD5E12">
        <w:tc>
          <w:tcPr>
            <w:tcW w:w="1140" w:type="dxa"/>
            <w:vMerge/>
          </w:tcPr>
          <w:p w14:paraId="6BCF2450" w14:textId="77777777" w:rsidR="00C33420" w:rsidRPr="00EB1B72" w:rsidRDefault="00C33420" w:rsidP="00C64FAB"/>
        </w:tc>
        <w:tc>
          <w:tcPr>
            <w:tcW w:w="850" w:type="dxa"/>
            <w:vAlign w:val="center"/>
          </w:tcPr>
          <w:p w14:paraId="04B10475" w14:textId="77777777" w:rsidR="00C33420" w:rsidRPr="005054CA" w:rsidRDefault="00C33420" w:rsidP="00576773">
            <w:pPr>
              <w:jc w:val="center"/>
              <w:rPr>
                <w:sz w:val="20"/>
                <w:szCs w:val="20"/>
              </w:rPr>
            </w:pPr>
            <w:r w:rsidRPr="005054CA">
              <w:rPr>
                <w:sz w:val="20"/>
                <w:szCs w:val="20"/>
              </w:rPr>
              <w:t>1486</w:t>
            </w:r>
          </w:p>
        </w:tc>
        <w:tc>
          <w:tcPr>
            <w:tcW w:w="4678" w:type="dxa"/>
          </w:tcPr>
          <w:p w14:paraId="1604BC92" w14:textId="77777777" w:rsidR="00C33420" w:rsidRPr="005054CA" w:rsidRDefault="00C33420" w:rsidP="00C64FAB">
            <w:pPr>
              <w:rPr>
                <w:sz w:val="20"/>
                <w:szCs w:val="20"/>
              </w:rPr>
            </w:pPr>
            <w:r w:rsidRPr="005054CA">
              <w:rPr>
                <w:sz w:val="20"/>
                <w:szCs w:val="20"/>
              </w:rPr>
              <w:t>KIT DE JERINGAS PARA INYECTORES DE MEDIOS DE CONTRASTE</w:t>
            </w:r>
          </w:p>
        </w:tc>
        <w:tc>
          <w:tcPr>
            <w:tcW w:w="1134" w:type="dxa"/>
            <w:vAlign w:val="center"/>
          </w:tcPr>
          <w:p w14:paraId="4EC2EC21" w14:textId="77777777" w:rsidR="00C33420" w:rsidRPr="005054CA" w:rsidRDefault="00C33420" w:rsidP="00576773">
            <w:pPr>
              <w:jc w:val="center"/>
              <w:rPr>
                <w:b/>
                <w:sz w:val="20"/>
                <w:szCs w:val="20"/>
              </w:rPr>
            </w:pPr>
            <w:r w:rsidRPr="005054CA">
              <w:rPr>
                <w:b/>
                <w:sz w:val="20"/>
                <w:szCs w:val="20"/>
              </w:rPr>
              <w:t>140</w:t>
            </w:r>
          </w:p>
        </w:tc>
        <w:tc>
          <w:tcPr>
            <w:tcW w:w="1183" w:type="dxa"/>
            <w:vAlign w:val="center"/>
          </w:tcPr>
          <w:p w14:paraId="26E98595" w14:textId="77777777" w:rsidR="00C33420" w:rsidRPr="005054CA" w:rsidRDefault="00C33420" w:rsidP="00576773">
            <w:pPr>
              <w:jc w:val="center"/>
              <w:rPr>
                <w:b/>
                <w:sz w:val="20"/>
                <w:szCs w:val="20"/>
              </w:rPr>
            </w:pPr>
            <w:r w:rsidRPr="005054CA">
              <w:rPr>
                <w:b/>
                <w:sz w:val="20"/>
                <w:szCs w:val="20"/>
              </w:rPr>
              <w:t>350</w:t>
            </w:r>
          </w:p>
        </w:tc>
      </w:tr>
      <w:tr w:rsidR="00C33420" w:rsidRPr="00000B88" w14:paraId="2E2C7A1B" w14:textId="77777777" w:rsidTr="00DD5E12">
        <w:tc>
          <w:tcPr>
            <w:tcW w:w="1140" w:type="dxa"/>
            <w:vMerge/>
          </w:tcPr>
          <w:p w14:paraId="5B634D9B" w14:textId="77777777" w:rsidR="00C33420" w:rsidRPr="00EB1B72" w:rsidRDefault="00C33420" w:rsidP="00C64FAB"/>
        </w:tc>
        <w:tc>
          <w:tcPr>
            <w:tcW w:w="850" w:type="dxa"/>
            <w:vAlign w:val="center"/>
          </w:tcPr>
          <w:p w14:paraId="0BA51CA9" w14:textId="77777777" w:rsidR="00C33420" w:rsidRPr="005054CA" w:rsidRDefault="00C33420" w:rsidP="00576773">
            <w:pPr>
              <w:jc w:val="center"/>
              <w:rPr>
                <w:sz w:val="20"/>
                <w:szCs w:val="20"/>
              </w:rPr>
            </w:pPr>
            <w:r w:rsidRPr="005054CA">
              <w:rPr>
                <w:sz w:val="20"/>
                <w:szCs w:val="20"/>
              </w:rPr>
              <w:t>1478</w:t>
            </w:r>
          </w:p>
        </w:tc>
        <w:tc>
          <w:tcPr>
            <w:tcW w:w="4678" w:type="dxa"/>
          </w:tcPr>
          <w:p w14:paraId="584941B4" w14:textId="77777777" w:rsidR="00C33420" w:rsidRPr="005054CA" w:rsidRDefault="00C33420" w:rsidP="00C64FAB">
            <w:pPr>
              <w:rPr>
                <w:sz w:val="20"/>
                <w:szCs w:val="20"/>
              </w:rPr>
            </w:pPr>
            <w:r w:rsidRPr="005054CA">
              <w:rPr>
                <w:sz w:val="20"/>
                <w:szCs w:val="20"/>
              </w:rPr>
              <w:t>CONECTORES PARA PACIENTE</w:t>
            </w:r>
            <w:r>
              <w:rPr>
                <w:sz w:val="20"/>
                <w:szCs w:val="20"/>
              </w:rPr>
              <w:t xml:space="preserve"> DE BAJA PRESIÓN DE 152.4 CM</w:t>
            </w:r>
          </w:p>
        </w:tc>
        <w:tc>
          <w:tcPr>
            <w:tcW w:w="1134" w:type="dxa"/>
            <w:vAlign w:val="center"/>
          </w:tcPr>
          <w:p w14:paraId="0D6A8D15" w14:textId="77777777" w:rsidR="00C33420" w:rsidRPr="005054CA" w:rsidRDefault="00C33420" w:rsidP="00576773">
            <w:pPr>
              <w:jc w:val="center"/>
              <w:rPr>
                <w:b/>
                <w:sz w:val="20"/>
                <w:szCs w:val="20"/>
              </w:rPr>
            </w:pPr>
            <w:r>
              <w:rPr>
                <w:b/>
                <w:sz w:val="20"/>
                <w:szCs w:val="20"/>
              </w:rPr>
              <w:t>1200</w:t>
            </w:r>
          </w:p>
        </w:tc>
        <w:tc>
          <w:tcPr>
            <w:tcW w:w="1183" w:type="dxa"/>
            <w:vAlign w:val="center"/>
          </w:tcPr>
          <w:p w14:paraId="4BB30751" w14:textId="77777777" w:rsidR="00C33420" w:rsidRPr="005054CA" w:rsidRDefault="00C33420" w:rsidP="00576773">
            <w:pPr>
              <w:jc w:val="center"/>
              <w:rPr>
                <w:b/>
                <w:sz w:val="20"/>
                <w:szCs w:val="20"/>
              </w:rPr>
            </w:pPr>
            <w:r>
              <w:rPr>
                <w:b/>
                <w:sz w:val="20"/>
                <w:szCs w:val="20"/>
              </w:rPr>
              <w:t>30</w:t>
            </w:r>
            <w:r w:rsidRPr="005054CA">
              <w:rPr>
                <w:b/>
                <w:sz w:val="20"/>
                <w:szCs w:val="20"/>
              </w:rPr>
              <w:t>00</w:t>
            </w:r>
          </w:p>
        </w:tc>
      </w:tr>
      <w:tr w:rsidR="00C33420" w:rsidRPr="00000B88" w14:paraId="79E5B9B1" w14:textId="77777777" w:rsidTr="00DD5E12">
        <w:tc>
          <w:tcPr>
            <w:tcW w:w="1140" w:type="dxa"/>
            <w:vMerge/>
          </w:tcPr>
          <w:p w14:paraId="7B5522D0" w14:textId="77777777" w:rsidR="00C33420" w:rsidRPr="00EB1B72" w:rsidRDefault="00C33420" w:rsidP="00C64FAB"/>
        </w:tc>
        <w:tc>
          <w:tcPr>
            <w:tcW w:w="850" w:type="dxa"/>
            <w:vAlign w:val="center"/>
          </w:tcPr>
          <w:p w14:paraId="0C2590EF" w14:textId="77777777" w:rsidR="00C33420" w:rsidRPr="005054CA" w:rsidRDefault="00C33420" w:rsidP="00576773">
            <w:pPr>
              <w:jc w:val="center"/>
              <w:rPr>
                <w:sz w:val="20"/>
                <w:szCs w:val="20"/>
              </w:rPr>
            </w:pPr>
            <w:r w:rsidRPr="005054CA">
              <w:rPr>
                <w:sz w:val="20"/>
                <w:szCs w:val="20"/>
              </w:rPr>
              <w:t>1487</w:t>
            </w:r>
          </w:p>
        </w:tc>
        <w:tc>
          <w:tcPr>
            <w:tcW w:w="4678" w:type="dxa"/>
          </w:tcPr>
          <w:p w14:paraId="1835CE9C" w14:textId="77777777" w:rsidR="00C33420" w:rsidRPr="005054CA" w:rsidRDefault="00C33420" w:rsidP="009A39F0">
            <w:pPr>
              <w:rPr>
                <w:sz w:val="20"/>
                <w:szCs w:val="20"/>
              </w:rPr>
            </w:pPr>
            <w:r w:rsidRPr="005054CA">
              <w:rPr>
                <w:sz w:val="20"/>
                <w:szCs w:val="20"/>
              </w:rPr>
              <w:t>CONJUNTO DE TRANSFERENCIA PARA MEDIO DE CONTRASTE</w:t>
            </w:r>
          </w:p>
        </w:tc>
        <w:tc>
          <w:tcPr>
            <w:tcW w:w="1134" w:type="dxa"/>
            <w:vAlign w:val="center"/>
          </w:tcPr>
          <w:p w14:paraId="6343E979" w14:textId="77777777" w:rsidR="00C33420" w:rsidRPr="005054CA" w:rsidRDefault="00C33420" w:rsidP="00576773">
            <w:pPr>
              <w:jc w:val="center"/>
              <w:rPr>
                <w:b/>
                <w:sz w:val="20"/>
                <w:szCs w:val="20"/>
              </w:rPr>
            </w:pPr>
            <w:r>
              <w:rPr>
                <w:b/>
                <w:sz w:val="20"/>
                <w:szCs w:val="20"/>
              </w:rPr>
              <w:t>32</w:t>
            </w:r>
            <w:r w:rsidRPr="005054CA">
              <w:rPr>
                <w:b/>
                <w:sz w:val="20"/>
                <w:szCs w:val="20"/>
              </w:rPr>
              <w:t>0</w:t>
            </w:r>
          </w:p>
        </w:tc>
        <w:tc>
          <w:tcPr>
            <w:tcW w:w="1183" w:type="dxa"/>
            <w:vAlign w:val="center"/>
          </w:tcPr>
          <w:p w14:paraId="3F60A6A4" w14:textId="77777777" w:rsidR="00C33420" w:rsidRPr="005054CA" w:rsidRDefault="00C33420" w:rsidP="00576773">
            <w:pPr>
              <w:jc w:val="center"/>
              <w:rPr>
                <w:b/>
                <w:sz w:val="20"/>
                <w:szCs w:val="20"/>
              </w:rPr>
            </w:pPr>
            <w:r>
              <w:rPr>
                <w:b/>
                <w:sz w:val="20"/>
                <w:szCs w:val="20"/>
              </w:rPr>
              <w:t>8</w:t>
            </w:r>
            <w:r w:rsidRPr="005054CA">
              <w:rPr>
                <w:b/>
                <w:sz w:val="20"/>
                <w:szCs w:val="20"/>
              </w:rPr>
              <w:t>00</w:t>
            </w:r>
          </w:p>
        </w:tc>
      </w:tr>
    </w:tbl>
    <w:p w14:paraId="7D11AC84" w14:textId="77777777" w:rsidR="004E1A87" w:rsidRDefault="004E1A87" w:rsidP="004E1A87">
      <w:pPr>
        <w:tabs>
          <w:tab w:val="left" w:pos="7888"/>
        </w:tabs>
        <w:spacing w:after="120"/>
        <w:jc w:val="both"/>
        <w:rPr>
          <w:rFonts w:cs="Arial"/>
        </w:rPr>
      </w:pPr>
    </w:p>
    <w:p w14:paraId="2A142F7A" w14:textId="77777777" w:rsidR="004E1A87" w:rsidRPr="00F73A02" w:rsidRDefault="004E1A87" w:rsidP="00F73A02">
      <w:pPr>
        <w:pStyle w:val="Prrafodelista"/>
        <w:numPr>
          <w:ilvl w:val="0"/>
          <w:numId w:val="7"/>
        </w:numPr>
        <w:rPr>
          <w:rFonts w:cs="Arial"/>
          <w:b/>
        </w:rPr>
      </w:pPr>
      <w:r w:rsidRPr="00F73A02">
        <w:rPr>
          <w:rFonts w:cs="Arial"/>
          <w:b/>
        </w:rPr>
        <w:t>EQUIPAMIENTO EN COMODATO</w:t>
      </w:r>
    </w:p>
    <w:p w14:paraId="636E27F8" w14:textId="77777777" w:rsidR="004E1A87" w:rsidRPr="00000B88" w:rsidRDefault="001E5A08" w:rsidP="004E1A87">
      <w:pPr>
        <w:jc w:val="both"/>
        <w:rPr>
          <w:rFonts w:cs="Arial"/>
        </w:rPr>
      </w:pPr>
      <w:r w:rsidRPr="001E5A08">
        <w:rPr>
          <w:rFonts w:cs="Arial"/>
        </w:rPr>
        <w:t>El licitante ganador deberá proporcionar los bienes de acuerdo con lo establecido en este mismo anexo, se encargará de la entrega e instalación de los equipos, dichos deberán ser de última tecnología, que no se encuentren en vías de ser descontinuados y estén al 100 % de sus funciones de forma comprobable, nuevos, re</w:t>
      </w:r>
      <w:r w:rsidR="00FC51E9">
        <w:rPr>
          <w:rFonts w:cs="Arial"/>
        </w:rPr>
        <w:t xml:space="preserve"> </w:t>
      </w:r>
      <w:r w:rsidRPr="001E5A08">
        <w:rPr>
          <w:rFonts w:cs="Arial"/>
        </w:rPr>
        <w:t xml:space="preserve">manufacturados o usados, no mayor a </w:t>
      </w:r>
      <w:r w:rsidR="005054CA">
        <w:rPr>
          <w:rFonts w:cs="Arial"/>
        </w:rPr>
        <w:t>3</w:t>
      </w:r>
      <w:r w:rsidRPr="001E5A08">
        <w:rPr>
          <w:rFonts w:cs="Arial"/>
        </w:rPr>
        <w:t xml:space="preserve"> años de antigüedad de fabricación, con la cantidades y descripción que se enlistan a continuación y  que cumplan con los requisitos de funcionalidad y los especificados en el siguiente cuadro que forma parte del presente anexo, asegurando tiempos de respuesta y calidad del servicio, libres de defectos de diseño y materiales:</w:t>
      </w:r>
    </w:p>
    <w:tbl>
      <w:tblPr>
        <w:tblStyle w:val="Tablaconcuadrcula"/>
        <w:tblW w:w="0" w:type="auto"/>
        <w:tblLook w:val="04A0" w:firstRow="1" w:lastRow="0" w:firstColumn="1" w:lastColumn="0" w:noHBand="0" w:noVBand="1"/>
      </w:tblPr>
      <w:tblGrid>
        <w:gridCol w:w="779"/>
        <w:gridCol w:w="1603"/>
        <w:gridCol w:w="6446"/>
      </w:tblGrid>
      <w:tr w:rsidR="00D05BFC" w14:paraId="27BD233B" w14:textId="77777777" w:rsidTr="00D05BFC">
        <w:tc>
          <w:tcPr>
            <w:tcW w:w="779" w:type="dxa"/>
            <w:vAlign w:val="center"/>
          </w:tcPr>
          <w:p w14:paraId="14004E55" w14:textId="77777777" w:rsidR="00D05BFC" w:rsidRPr="00D05BFC" w:rsidRDefault="00D05BFC" w:rsidP="00D05BFC">
            <w:pPr>
              <w:jc w:val="center"/>
              <w:rPr>
                <w:rFonts w:ascii="Calibri" w:hAnsi="Calibri"/>
                <w:b/>
                <w:color w:val="000000"/>
              </w:rPr>
            </w:pPr>
            <w:r w:rsidRPr="00D05BFC">
              <w:rPr>
                <w:rFonts w:ascii="Calibri" w:hAnsi="Calibri" w:cs="Arial"/>
                <w:b/>
                <w:color w:val="000000"/>
              </w:rPr>
              <w:t>CANT.</w:t>
            </w:r>
          </w:p>
        </w:tc>
        <w:tc>
          <w:tcPr>
            <w:tcW w:w="1603" w:type="dxa"/>
            <w:vAlign w:val="center"/>
          </w:tcPr>
          <w:p w14:paraId="6AC9C24E" w14:textId="77777777" w:rsidR="00D05BFC" w:rsidRPr="00D05BFC" w:rsidRDefault="00D05BFC" w:rsidP="00D05BFC">
            <w:pPr>
              <w:jc w:val="center"/>
              <w:rPr>
                <w:rFonts w:ascii="Calibri" w:hAnsi="Calibri"/>
                <w:b/>
                <w:color w:val="000000"/>
              </w:rPr>
            </w:pPr>
            <w:r w:rsidRPr="00D05BFC">
              <w:rPr>
                <w:rFonts w:ascii="Calibri" w:hAnsi="Calibri" w:cs="Arial"/>
                <w:b/>
                <w:color w:val="000000"/>
              </w:rPr>
              <w:t>DELEGACIÓN</w:t>
            </w:r>
          </w:p>
        </w:tc>
        <w:tc>
          <w:tcPr>
            <w:tcW w:w="6446" w:type="dxa"/>
            <w:vAlign w:val="center"/>
          </w:tcPr>
          <w:p w14:paraId="593029B6" w14:textId="77777777" w:rsidR="00D05BFC" w:rsidRPr="00D05BFC" w:rsidRDefault="00D05BFC" w:rsidP="00D05BFC">
            <w:pPr>
              <w:jc w:val="center"/>
              <w:rPr>
                <w:rFonts w:ascii="Calibri" w:hAnsi="Calibri"/>
                <w:b/>
                <w:color w:val="000000"/>
              </w:rPr>
            </w:pPr>
            <w:r w:rsidRPr="00D05BFC">
              <w:rPr>
                <w:rFonts w:ascii="Calibri" w:hAnsi="Calibri" w:cs="Arial"/>
                <w:b/>
                <w:color w:val="000000"/>
              </w:rPr>
              <w:t>ESPECIFICACIONES</w:t>
            </w:r>
          </w:p>
        </w:tc>
      </w:tr>
      <w:tr w:rsidR="00D05BFC" w14:paraId="2597CECB" w14:textId="77777777" w:rsidTr="00D05BFC">
        <w:tc>
          <w:tcPr>
            <w:tcW w:w="779" w:type="dxa"/>
            <w:vMerge w:val="restart"/>
            <w:vAlign w:val="center"/>
          </w:tcPr>
          <w:p w14:paraId="1DFD486E" w14:textId="77777777" w:rsidR="00D05BFC" w:rsidRDefault="00D05BFC" w:rsidP="00D05BFC">
            <w:pPr>
              <w:jc w:val="center"/>
              <w:rPr>
                <w:rFonts w:ascii="Calibri" w:hAnsi="Calibri"/>
                <w:color w:val="000000"/>
              </w:rPr>
            </w:pPr>
            <w:r>
              <w:rPr>
                <w:rFonts w:ascii="Calibri" w:hAnsi="Calibri"/>
                <w:color w:val="000000"/>
              </w:rPr>
              <w:t>1</w:t>
            </w:r>
          </w:p>
        </w:tc>
        <w:tc>
          <w:tcPr>
            <w:tcW w:w="1603" w:type="dxa"/>
            <w:vMerge w:val="restart"/>
            <w:vAlign w:val="center"/>
          </w:tcPr>
          <w:p w14:paraId="18D06E11" w14:textId="77777777" w:rsidR="00D05BFC" w:rsidRDefault="00D05BFC" w:rsidP="00D05BFC">
            <w:pPr>
              <w:rPr>
                <w:rFonts w:ascii="Calibri" w:hAnsi="Calibri"/>
                <w:color w:val="000000"/>
              </w:rPr>
            </w:pPr>
            <w:r>
              <w:rPr>
                <w:rFonts w:ascii="Calibri" w:hAnsi="Calibri"/>
                <w:color w:val="000000"/>
              </w:rPr>
              <w:t>CHIHUAHUA</w:t>
            </w:r>
          </w:p>
        </w:tc>
        <w:tc>
          <w:tcPr>
            <w:tcW w:w="6446" w:type="dxa"/>
            <w:vAlign w:val="center"/>
          </w:tcPr>
          <w:p w14:paraId="0F1B4E4E" w14:textId="77777777" w:rsidR="00D05BFC" w:rsidRPr="00D05BFC" w:rsidRDefault="00D05BFC" w:rsidP="00D05BFC">
            <w:pPr>
              <w:rPr>
                <w:rFonts w:ascii="Calibri" w:hAnsi="Calibri"/>
                <w:b/>
                <w:color w:val="000000"/>
              </w:rPr>
            </w:pPr>
            <w:r w:rsidRPr="00D05BFC">
              <w:rPr>
                <w:rFonts w:ascii="Calibri" w:hAnsi="Calibri"/>
                <w:b/>
                <w:color w:val="000000"/>
              </w:rPr>
              <w:t>1. SISTEMA DE INYECCIÓN PARA TOMOGRAFÍA COMPUTARIZADA</w:t>
            </w:r>
          </w:p>
        </w:tc>
      </w:tr>
      <w:tr w:rsidR="00D05BFC" w14:paraId="3EE140D4" w14:textId="77777777" w:rsidTr="00D05BFC">
        <w:tc>
          <w:tcPr>
            <w:tcW w:w="779" w:type="dxa"/>
            <w:vMerge/>
            <w:vAlign w:val="center"/>
          </w:tcPr>
          <w:p w14:paraId="4BE50E06" w14:textId="77777777" w:rsidR="00D05BFC" w:rsidRDefault="00D05BFC" w:rsidP="00D05BFC">
            <w:pPr>
              <w:rPr>
                <w:rFonts w:ascii="Calibri" w:hAnsi="Calibri"/>
                <w:color w:val="000000"/>
              </w:rPr>
            </w:pPr>
          </w:p>
        </w:tc>
        <w:tc>
          <w:tcPr>
            <w:tcW w:w="1603" w:type="dxa"/>
            <w:vMerge/>
            <w:vAlign w:val="center"/>
          </w:tcPr>
          <w:p w14:paraId="2D57D293" w14:textId="77777777" w:rsidR="00D05BFC" w:rsidRDefault="00D05BFC" w:rsidP="00D05BFC">
            <w:pPr>
              <w:rPr>
                <w:rFonts w:ascii="Calibri" w:hAnsi="Calibri"/>
                <w:color w:val="000000"/>
              </w:rPr>
            </w:pPr>
          </w:p>
        </w:tc>
        <w:tc>
          <w:tcPr>
            <w:tcW w:w="6446" w:type="dxa"/>
            <w:vAlign w:val="bottom"/>
          </w:tcPr>
          <w:p w14:paraId="1D361571" w14:textId="77777777" w:rsidR="00D05BFC" w:rsidRPr="00D05BFC" w:rsidRDefault="00D05BFC" w:rsidP="00D05BFC">
            <w:pPr>
              <w:pStyle w:val="Prrafodelista"/>
              <w:numPr>
                <w:ilvl w:val="1"/>
                <w:numId w:val="8"/>
              </w:numPr>
              <w:rPr>
                <w:rFonts w:ascii="Calibri" w:hAnsi="Calibri"/>
                <w:color w:val="000000"/>
              </w:rPr>
            </w:pPr>
            <w:r w:rsidRPr="00D05BFC">
              <w:rPr>
                <w:rFonts w:ascii="Calibri" w:hAnsi="Calibri"/>
                <w:color w:val="000000"/>
              </w:rPr>
              <w:t>Jeringas desechables con capacidad de 200 ml con límite de presión de 325 PSI</w:t>
            </w:r>
          </w:p>
        </w:tc>
      </w:tr>
      <w:tr w:rsidR="00D05BFC" w14:paraId="062977A2" w14:textId="77777777" w:rsidTr="00D05BFC">
        <w:tc>
          <w:tcPr>
            <w:tcW w:w="779" w:type="dxa"/>
            <w:vMerge/>
            <w:vAlign w:val="center"/>
          </w:tcPr>
          <w:p w14:paraId="6280E85E" w14:textId="77777777" w:rsidR="00D05BFC" w:rsidRDefault="00D05BFC" w:rsidP="00D05BFC">
            <w:pPr>
              <w:rPr>
                <w:rFonts w:ascii="Calibri" w:hAnsi="Calibri"/>
                <w:color w:val="000000"/>
              </w:rPr>
            </w:pPr>
          </w:p>
        </w:tc>
        <w:tc>
          <w:tcPr>
            <w:tcW w:w="1603" w:type="dxa"/>
            <w:vMerge/>
            <w:vAlign w:val="center"/>
          </w:tcPr>
          <w:p w14:paraId="065F58CF" w14:textId="77777777" w:rsidR="00D05BFC" w:rsidRDefault="00D05BFC" w:rsidP="00D05BFC">
            <w:pPr>
              <w:rPr>
                <w:rFonts w:ascii="Calibri" w:hAnsi="Calibri"/>
                <w:color w:val="000000"/>
              </w:rPr>
            </w:pPr>
          </w:p>
        </w:tc>
        <w:tc>
          <w:tcPr>
            <w:tcW w:w="6446" w:type="dxa"/>
            <w:vAlign w:val="bottom"/>
          </w:tcPr>
          <w:p w14:paraId="12DEBDF1" w14:textId="77777777" w:rsidR="00D05BFC" w:rsidRPr="00D05BFC" w:rsidRDefault="00D05BFC" w:rsidP="00D05BFC">
            <w:pPr>
              <w:pStyle w:val="Prrafodelista"/>
              <w:numPr>
                <w:ilvl w:val="1"/>
                <w:numId w:val="8"/>
              </w:numPr>
              <w:rPr>
                <w:rFonts w:ascii="Calibri" w:hAnsi="Calibri"/>
                <w:color w:val="000000"/>
              </w:rPr>
            </w:pPr>
            <w:r w:rsidRPr="00D05BFC">
              <w:rPr>
                <w:rFonts w:ascii="Calibri" w:hAnsi="Calibri"/>
                <w:color w:val="000000"/>
              </w:rPr>
              <w:t>Rango de llenado en incrementos de 1 ml</w:t>
            </w:r>
          </w:p>
        </w:tc>
      </w:tr>
      <w:tr w:rsidR="00D05BFC" w14:paraId="7091B379" w14:textId="77777777" w:rsidTr="00D05BFC">
        <w:tc>
          <w:tcPr>
            <w:tcW w:w="779" w:type="dxa"/>
            <w:vMerge/>
            <w:vAlign w:val="center"/>
          </w:tcPr>
          <w:p w14:paraId="7FDF345A" w14:textId="77777777" w:rsidR="00D05BFC" w:rsidRDefault="00D05BFC" w:rsidP="00D05BFC">
            <w:pPr>
              <w:rPr>
                <w:rFonts w:ascii="Calibri" w:hAnsi="Calibri"/>
                <w:color w:val="000000"/>
              </w:rPr>
            </w:pPr>
          </w:p>
        </w:tc>
        <w:tc>
          <w:tcPr>
            <w:tcW w:w="1603" w:type="dxa"/>
            <w:vMerge/>
            <w:vAlign w:val="center"/>
          </w:tcPr>
          <w:p w14:paraId="30E84ADF" w14:textId="77777777" w:rsidR="00D05BFC" w:rsidRDefault="00D05BFC" w:rsidP="00D05BFC">
            <w:pPr>
              <w:rPr>
                <w:rFonts w:ascii="Calibri" w:hAnsi="Calibri"/>
                <w:color w:val="000000"/>
              </w:rPr>
            </w:pPr>
          </w:p>
        </w:tc>
        <w:tc>
          <w:tcPr>
            <w:tcW w:w="6446" w:type="dxa"/>
            <w:vAlign w:val="bottom"/>
          </w:tcPr>
          <w:p w14:paraId="5A8D0F52" w14:textId="77777777" w:rsidR="00D05BFC" w:rsidRPr="00D05BFC" w:rsidRDefault="00D05BFC" w:rsidP="00D05BFC">
            <w:pPr>
              <w:pStyle w:val="Prrafodelista"/>
              <w:numPr>
                <w:ilvl w:val="1"/>
                <w:numId w:val="8"/>
              </w:numPr>
              <w:rPr>
                <w:rFonts w:ascii="Calibri" w:hAnsi="Calibri"/>
                <w:color w:val="000000"/>
              </w:rPr>
            </w:pPr>
            <w:r w:rsidRPr="00D05BFC">
              <w:rPr>
                <w:rFonts w:ascii="Calibri" w:hAnsi="Calibri"/>
                <w:color w:val="000000"/>
              </w:rPr>
              <w:t>Sistema de contrapeso suspendido o con pedestal en el suelo</w:t>
            </w:r>
          </w:p>
        </w:tc>
      </w:tr>
      <w:tr w:rsidR="00D05BFC" w14:paraId="3D955E18" w14:textId="77777777" w:rsidTr="00D05BFC">
        <w:tc>
          <w:tcPr>
            <w:tcW w:w="779" w:type="dxa"/>
            <w:vMerge/>
            <w:vAlign w:val="center"/>
          </w:tcPr>
          <w:p w14:paraId="209F1E5F" w14:textId="77777777" w:rsidR="00D05BFC" w:rsidRDefault="00D05BFC" w:rsidP="00D05BFC">
            <w:pPr>
              <w:rPr>
                <w:rFonts w:ascii="Calibri" w:hAnsi="Calibri"/>
                <w:color w:val="000000"/>
              </w:rPr>
            </w:pPr>
          </w:p>
        </w:tc>
        <w:tc>
          <w:tcPr>
            <w:tcW w:w="1603" w:type="dxa"/>
            <w:vMerge/>
            <w:vAlign w:val="center"/>
          </w:tcPr>
          <w:p w14:paraId="135CEE44" w14:textId="77777777" w:rsidR="00D05BFC" w:rsidRDefault="00D05BFC" w:rsidP="00D05BFC">
            <w:pPr>
              <w:rPr>
                <w:rFonts w:ascii="Calibri" w:hAnsi="Calibri"/>
                <w:color w:val="000000"/>
              </w:rPr>
            </w:pPr>
          </w:p>
        </w:tc>
        <w:tc>
          <w:tcPr>
            <w:tcW w:w="6446" w:type="dxa"/>
            <w:vAlign w:val="bottom"/>
          </w:tcPr>
          <w:p w14:paraId="6F2D72AE" w14:textId="77777777" w:rsidR="00D05BFC" w:rsidRPr="00D05BFC" w:rsidRDefault="00D05BFC" w:rsidP="00D05BFC">
            <w:pPr>
              <w:pStyle w:val="Prrafodelista"/>
              <w:numPr>
                <w:ilvl w:val="1"/>
                <w:numId w:val="8"/>
              </w:numPr>
              <w:rPr>
                <w:rFonts w:ascii="Calibri" w:hAnsi="Calibri"/>
                <w:color w:val="000000"/>
              </w:rPr>
            </w:pPr>
            <w:r w:rsidRPr="00D05BFC">
              <w:rPr>
                <w:rFonts w:ascii="Calibri" w:hAnsi="Calibri"/>
                <w:color w:val="000000"/>
              </w:rPr>
              <w:t>Detector de extravasación y con protocolos de inyección específica del Paciente para Angio-Tomografía Cardiaca.</w:t>
            </w:r>
          </w:p>
        </w:tc>
      </w:tr>
      <w:tr w:rsidR="00547698" w14:paraId="0FC20034" w14:textId="77777777" w:rsidTr="00D05BFC">
        <w:tc>
          <w:tcPr>
            <w:tcW w:w="779" w:type="dxa"/>
            <w:vMerge/>
            <w:vAlign w:val="center"/>
          </w:tcPr>
          <w:p w14:paraId="26479351" w14:textId="77777777" w:rsidR="00547698" w:rsidRDefault="00547698" w:rsidP="00D05BFC">
            <w:pPr>
              <w:rPr>
                <w:rFonts w:ascii="Calibri" w:hAnsi="Calibri"/>
                <w:color w:val="000000"/>
              </w:rPr>
            </w:pPr>
          </w:p>
        </w:tc>
        <w:tc>
          <w:tcPr>
            <w:tcW w:w="1603" w:type="dxa"/>
            <w:vMerge/>
            <w:vAlign w:val="center"/>
          </w:tcPr>
          <w:p w14:paraId="22EB40AD" w14:textId="77777777" w:rsidR="00547698" w:rsidRDefault="00547698" w:rsidP="00D05BFC">
            <w:pPr>
              <w:rPr>
                <w:rFonts w:ascii="Calibri" w:hAnsi="Calibri"/>
                <w:color w:val="000000"/>
              </w:rPr>
            </w:pPr>
          </w:p>
        </w:tc>
        <w:tc>
          <w:tcPr>
            <w:tcW w:w="6446" w:type="dxa"/>
            <w:vAlign w:val="bottom"/>
          </w:tcPr>
          <w:p w14:paraId="361CF3CE" w14:textId="77777777" w:rsidR="00547698" w:rsidRPr="00547698" w:rsidRDefault="00547698" w:rsidP="00547698">
            <w:pPr>
              <w:pStyle w:val="Prrafodelista"/>
              <w:numPr>
                <w:ilvl w:val="1"/>
                <w:numId w:val="8"/>
              </w:numPr>
              <w:rPr>
                <w:rFonts w:ascii="Calibri" w:hAnsi="Calibri"/>
                <w:color w:val="000000"/>
              </w:rPr>
            </w:pPr>
            <w:r>
              <w:rPr>
                <w:rFonts w:ascii="Calibri" w:hAnsi="Calibri"/>
                <w:color w:val="000000"/>
              </w:rPr>
              <w:t>Sistema de doble jeringa para inyección simultánea de solución salina y medio de contraste</w:t>
            </w:r>
          </w:p>
        </w:tc>
      </w:tr>
      <w:tr w:rsidR="00547698" w14:paraId="3E1A8985" w14:textId="77777777" w:rsidTr="00D05BFC">
        <w:tc>
          <w:tcPr>
            <w:tcW w:w="779" w:type="dxa"/>
            <w:vMerge/>
            <w:vAlign w:val="center"/>
          </w:tcPr>
          <w:p w14:paraId="208E809E" w14:textId="77777777" w:rsidR="00547698" w:rsidRDefault="00547698" w:rsidP="00D05BFC">
            <w:pPr>
              <w:rPr>
                <w:rFonts w:ascii="Calibri" w:hAnsi="Calibri"/>
                <w:color w:val="000000"/>
              </w:rPr>
            </w:pPr>
          </w:p>
        </w:tc>
        <w:tc>
          <w:tcPr>
            <w:tcW w:w="1603" w:type="dxa"/>
            <w:vMerge/>
            <w:vAlign w:val="center"/>
          </w:tcPr>
          <w:p w14:paraId="15E8E9F2" w14:textId="77777777" w:rsidR="00547698" w:rsidRDefault="00547698" w:rsidP="00D05BFC">
            <w:pPr>
              <w:rPr>
                <w:rFonts w:ascii="Calibri" w:hAnsi="Calibri"/>
                <w:color w:val="000000"/>
              </w:rPr>
            </w:pPr>
          </w:p>
        </w:tc>
        <w:tc>
          <w:tcPr>
            <w:tcW w:w="6446" w:type="dxa"/>
            <w:vAlign w:val="bottom"/>
          </w:tcPr>
          <w:p w14:paraId="23639367" w14:textId="77777777" w:rsidR="00547698" w:rsidRPr="00547698" w:rsidRDefault="00547698" w:rsidP="00547698">
            <w:pPr>
              <w:pStyle w:val="Prrafodelista"/>
              <w:numPr>
                <w:ilvl w:val="1"/>
                <w:numId w:val="8"/>
              </w:numPr>
              <w:rPr>
                <w:rFonts w:ascii="Calibri" w:hAnsi="Calibri"/>
                <w:color w:val="000000"/>
              </w:rPr>
            </w:pPr>
            <w:r>
              <w:rPr>
                <w:rFonts w:ascii="Calibri" w:hAnsi="Calibri"/>
                <w:color w:val="000000"/>
              </w:rPr>
              <w:t>Software</w:t>
            </w:r>
          </w:p>
        </w:tc>
      </w:tr>
      <w:tr w:rsidR="00547698" w14:paraId="0775D0D0" w14:textId="77777777" w:rsidTr="00D05BFC">
        <w:tc>
          <w:tcPr>
            <w:tcW w:w="779" w:type="dxa"/>
            <w:vMerge/>
            <w:vAlign w:val="center"/>
          </w:tcPr>
          <w:p w14:paraId="1B1A8883" w14:textId="77777777" w:rsidR="00547698" w:rsidRDefault="00547698" w:rsidP="00D05BFC">
            <w:pPr>
              <w:rPr>
                <w:rFonts w:ascii="Calibri" w:hAnsi="Calibri"/>
                <w:color w:val="000000"/>
              </w:rPr>
            </w:pPr>
          </w:p>
        </w:tc>
        <w:tc>
          <w:tcPr>
            <w:tcW w:w="1603" w:type="dxa"/>
            <w:vMerge/>
            <w:vAlign w:val="center"/>
          </w:tcPr>
          <w:p w14:paraId="63F3D138" w14:textId="77777777" w:rsidR="00547698" w:rsidRDefault="00547698" w:rsidP="00D05BFC">
            <w:pPr>
              <w:rPr>
                <w:rFonts w:ascii="Calibri" w:hAnsi="Calibri"/>
                <w:color w:val="000000"/>
              </w:rPr>
            </w:pPr>
          </w:p>
        </w:tc>
        <w:tc>
          <w:tcPr>
            <w:tcW w:w="6446" w:type="dxa"/>
            <w:vAlign w:val="bottom"/>
          </w:tcPr>
          <w:p w14:paraId="1BAE4410" w14:textId="77777777" w:rsidR="00547698" w:rsidRPr="00547698" w:rsidRDefault="00547698" w:rsidP="00547698">
            <w:pPr>
              <w:rPr>
                <w:rFonts w:ascii="Calibri" w:hAnsi="Calibri"/>
                <w:color w:val="000000"/>
              </w:rPr>
            </w:pPr>
            <w:r>
              <w:rPr>
                <w:rFonts w:ascii="Calibri" w:hAnsi="Calibri"/>
                <w:color w:val="000000"/>
              </w:rPr>
              <w:t xml:space="preserve">1.6.1. Programación de múltiples fases de inyección con opción de retener o pausar. </w:t>
            </w:r>
          </w:p>
        </w:tc>
      </w:tr>
      <w:tr w:rsidR="00547698" w14:paraId="12E13875" w14:textId="77777777" w:rsidTr="00D05BFC">
        <w:tc>
          <w:tcPr>
            <w:tcW w:w="779" w:type="dxa"/>
            <w:vMerge/>
            <w:vAlign w:val="center"/>
          </w:tcPr>
          <w:p w14:paraId="4DD87B7A" w14:textId="77777777" w:rsidR="00547698" w:rsidRDefault="00547698" w:rsidP="00D05BFC">
            <w:pPr>
              <w:rPr>
                <w:rFonts w:ascii="Calibri" w:hAnsi="Calibri"/>
                <w:color w:val="000000"/>
              </w:rPr>
            </w:pPr>
          </w:p>
        </w:tc>
        <w:tc>
          <w:tcPr>
            <w:tcW w:w="1603" w:type="dxa"/>
            <w:vMerge/>
            <w:vAlign w:val="center"/>
          </w:tcPr>
          <w:p w14:paraId="0505CED7" w14:textId="77777777" w:rsidR="00547698" w:rsidRDefault="00547698" w:rsidP="00D05BFC">
            <w:pPr>
              <w:rPr>
                <w:rFonts w:ascii="Calibri" w:hAnsi="Calibri"/>
                <w:color w:val="000000"/>
              </w:rPr>
            </w:pPr>
          </w:p>
        </w:tc>
        <w:tc>
          <w:tcPr>
            <w:tcW w:w="6446" w:type="dxa"/>
            <w:vAlign w:val="bottom"/>
          </w:tcPr>
          <w:p w14:paraId="4ADCC793" w14:textId="77777777" w:rsidR="00547698" w:rsidRPr="00547698" w:rsidRDefault="00547698" w:rsidP="00547698">
            <w:pPr>
              <w:pStyle w:val="Prrafodelista"/>
              <w:numPr>
                <w:ilvl w:val="1"/>
                <w:numId w:val="8"/>
              </w:numPr>
              <w:rPr>
                <w:rFonts w:ascii="Calibri" w:hAnsi="Calibri"/>
                <w:color w:val="000000"/>
              </w:rPr>
            </w:pPr>
            <w:r>
              <w:rPr>
                <w:rFonts w:ascii="Calibri" w:hAnsi="Calibri"/>
                <w:color w:val="000000"/>
              </w:rPr>
              <w:t>Equipo con inyección de prueba de solución salida para permeabilidad de vena.</w:t>
            </w:r>
          </w:p>
        </w:tc>
      </w:tr>
      <w:tr w:rsidR="00D05BFC" w14:paraId="521F8076" w14:textId="77777777" w:rsidTr="00D05BFC">
        <w:tc>
          <w:tcPr>
            <w:tcW w:w="779" w:type="dxa"/>
            <w:vMerge/>
            <w:vAlign w:val="center"/>
          </w:tcPr>
          <w:p w14:paraId="653FA31D" w14:textId="77777777" w:rsidR="00D05BFC" w:rsidRDefault="00D05BFC" w:rsidP="00D05BFC">
            <w:pPr>
              <w:rPr>
                <w:rFonts w:ascii="Calibri" w:hAnsi="Calibri"/>
                <w:color w:val="000000"/>
              </w:rPr>
            </w:pPr>
          </w:p>
        </w:tc>
        <w:tc>
          <w:tcPr>
            <w:tcW w:w="1603" w:type="dxa"/>
            <w:vMerge/>
            <w:vAlign w:val="center"/>
          </w:tcPr>
          <w:p w14:paraId="55617BBB" w14:textId="77777777" w:rsidR="00D05BFC" w:rsidRDefault="00D05BFC" w:rsidP="00D05BFC">
            <w:pPr>
              <w:rPr>
                <w:rFonts w:ascii="Calibri" w:hAnsi="Calibri"/>
                <w:color w:val="000000"/>
              </w:rPr>
            </w:pPr>
          </w:p>
        </w:tc>
        <w:tc>
          <w:tcPr>
            <w:tcW w:w="6446" w:type="dxa"/>
            <w:vAlign w:val="center"/>
          </w:tcPr>
          <w:p w14:paraId="17D499DD" w14:textId="77777777" w:rsidR="00D05BFC" w:rsidRPr="00547698" w:rsidRDefault="00D05BFC" w:rsidP="00547698">
            <w:pPr>
              <w:pStyle w:val="Prrafodelista"/>
              <w:numPr>
                <w:ilvl w:val="1"/>
                <w:numId w:val="8"/>
              </w:numPr>
              <w:jc w:val="both"/>
              <w:rPr>
                <w:rFonts w:ascii="Calibri" w:hAnsi="Calibri"/>
                <w:color w:val="000000"/>
              </w:rPr>
            </w:pPr>
            <w:r w:rsidRPr="00547698">
              <w:rPr>
                <w:rFonts w:ascii="Calibri" w:hAnsi="Calibri"/>
                <w:color w:val="000000"/>
              </w:rPr>
              <w:t xml:space="preserve">Instalación 100-240 VAC, 50/60 Hz. </w:t>
            </w:r>
          </w:p>
        </w:tc>
      </w:tr>
      <w:tr w:rsidR="00D05BFC" w14:paraId="31B03877" w14:textId="77777777" w:rsidTr="00D05BFC">
        <w:tc>
          <w:tcPr>
            <w:tcW w:w="779" w:type="dxa"/>
            <w:vMerge w:val="restart"/>
            <w:vAlign w:val="center"/>
          </w:tcPr>
          <w:p w14:paraId="1D900C28" w14:textId="77777777" w:rsidR="00D05BFC" w:rsidRDefault="00D05BFC" w:rsidP="00D05BFC">
            <w:pPr>
              <w:jc w:val="center"/>
              <w:rPr>
                <w:rFonts w:ascii="Calibri" w:hAnsi="Calibri"/>
                <w:color w:val="000000"/>
              </w:rPr>
            </w:pPr>
            <w:r>
              <w:rPr>
                <w:rFonts w:ascii="Calibri" w:hAnsi="Calibri" w:cs="Arial"/>
                <w:color w:val="000000"/>
              </w:rPr>
              <w:t>1</w:t>
            </w:r>
          </w:p>
        </w:tc>
        <w:tc>
          <w:tcPr>
            <w:tcW w:w="1603" w:type="dxa"/>
            <w:vMerge w:val="restart"/>
            <w:vAlign w:val="center"/>
          </w:tcPr>
          <w:p w14:paraId="3A2F137A" w14:textId="77777777" w:rsidR="00D05BFC" w:rsidRDefault="00D05BFC" w:rsidP="00D05BFC">
            <w:pPr>
              <w:rPr>
                <w:rFonts w:ascii="Calibri" w:hAnsi="Calibri"/>
                <w:color w:val="000000"/>
              </w:rPr>
            </w:pPr>
            <w:r>
              <w:rPr>
                <w:rFonts w:ascii="Calibri" w:hAnsi="Calibri" w:cs="Arial"/>
                <w:color w:val="000000"/>
              </w:rPr>
              <w:t>CHIHUAHUA</w:t>
            </w:r>
          </w:p>
        </w:tc>
        <w:tc>
          <w:tcPr>
            <w:tcW w:w="6446" w:type="dxa"/>
            <w:vAlign w:val="center"/>
          </w:tcPr>
          <w:p w14:paraId="3B0B0AF5" w14:textId="77777777" w:rsidR="00D05BFC" w:rsidRPr="00D05BFC" w:rsidRDefault="00D05BFC" w:rsidP="00D05BFC">
            <w:pPr>
              <w:rPr>
                <w:rFonts w:ascii="Calibri" w:hAnsi="Calibri"/>
                <w:b/>
                <w:color w:val="000000"/>
              </w:rPr>
            </w:pPr>
            <w:r w:rsidRPr="00D05BFC">
              <w:rPr>
                <w:rFonts w:ascii="Calibri" w:hAnsi="Calibri"/>
                <w:b/>
                <w:color w:val="000000"/>
              </w:rPr>
              <w:t>2. SISTEMA DE INYECCIÓN PARA RESONANCIA MAGNÉTICA</w:t>
            </w:r>
          </w:p>
        </w:tc>
      </w:tr>
      <w:tr w:rsidR="00D05BFC" w14:paraId="0DC1D1B8" w14:textId="77777777" w:rsidTr="00D05BFC">
        <w:tc>
          <w:tcPr>
            <w:tcW w:w="779" w:type="dxa"/>
            <w:vMerge/>
            <w:vAlign w:val="center"/>
          </w:tcPr>
          <w:p w14:paraId="5072F071" w14:textId="77777777" w:rsidR="00D05BFC" w:rsidRDefault="00D05BFC" w:rsidP="00D05BFC">
            <w:pPr>
              <w:jc w:val="right"/>
              <w:rPr>
                <w:rFonts w:ascii="Calibri" w:hAnsi="Calibri"/>
                <w:color w:val="000000"/>
              </w:rPr>
            </w:pPr>
          </w:p>
        </w:tc>
        <w:tc>
          <w:tcPr>
            <w:tcW w:w="1603" w:type="dxa"/>
            <w:vMerge/>
            <w:vAlign w:val="center"/>
          </w:tcPr>
          <w:p w14:paraId="647EF644" w14:textId="77777777" w:rsidR="00D05BFC" w:rsidRDefault="00D05BFC" w:rsidP="00D05BFC">
            <w:pPr>
              <w:rPr>
                <w:rFonts w:ascii="Calibri" w:hAnsi="Calibri"/>
                <w:color w:val="000000"/>
              </w:rPr>
            </w:pPr>
          </w:p>
        </w:tc>
        <w:tc>
          <w:tcPr>
            <w:tcW w:w="6446" w:type="dxa"/>
            <w:vAlign w:val="bottom"/>
          </w:tcPr>
          <w:p w14:paraId="75BA7906" w14:textId="77777777" w:rsidR="00D05BFC" w:rsidRDefault="00D05BFC" w:rsidP="00D05BFC">
            <w:pPr>
              <w:rPr>
                <w:rFonts w:ascii="Calibri" w:hAnsi="Calibri"/>
                <w:color w:val="000000"/>
              </w:rPr>
            </w:pPr>
            <w:r>
              <w:rPr>
                <w:rFonts w:ascii="Calibri" w:hAnsi="Calibri"/>
                <w:color w:val="000000"/>
              </w:rPr>
              <w:t xml:space="preserve">2.1. Con jeringa para medio de contraste: 65ml, </w:t>
            </w:r>
          </w:p>
        </w:tc>
      </w:tr>
      <w:tr w:rsidR="00D05BFC" w14:paraId="57A8F182" w14:textId="77777777" w:rsidTr="00D05BFC">
        <w:tc>
          <w:tcPr>
            <w:tcW w:w="779" w:type="dxa"/>
            <w:vMerge/>
            <w:vAlign w:val="bottom"/>
          </w:tcPr>
          <w:p w14:paraId="5F97411B" w14:textId="77777777" w:rsidR="00D05BFC" w:rsidRDefault="00D05BFC" w:rsidP="00D05BFC">
            <w:pPr>
              <w:jc w:val="both"/>
              <w:rPr>
                <w:rFonts w:ascii="Calibri" w:hAnsi="Calibri"/>
                <w:color w:val="000000"/>
              </w:rPr>
            </w:pPr>
          </w:p>
        </w:tc>
        <w:tc>
          <w:tcPr>
            <w:tcW w:w="1603" w:type="dxa"/>
            <w:vMerge/>
            <w:vAlign w:val="bottom"/>
          </w:tcPr>
          <w:p w14:paraId="48A98AAA" w14:textId="77777777" w:rsidR="00D05BFC" w:rsidRDefault="00D05BFC" w:rsidP="00D05BFC">
            <w:pPr>
              <w:rPr>
                <w:sz w:val="20"/>
                <w:szCs w:val="20"/>
              </w:rPr>
            </w:pPr>
          </w:p>
        </w:tc>
        <w:tc>
          <w:tcPr>
            <w:tcW w:w="6446" w:type="dxa"/>
            <w:vAlign w:val="bottom"/>
          </w:tcPr>
          <w:p w14:paraId="2B397E24" w14:textId="77777777" w:rsidR="00D05BFC" w:rsidRDefault="00D05BFC" w:rsidP="00D05BFC">
            <w:pPr>
              <w:rPr>
                <w:rFonts w:ascii="Calibri" w:hAnsi="Calibri"/>
                <w:color w:val="000000"/>
              </w:rPr>
            </w:pPr>
            <w:r>
              <w:rPr>
                <w:rFonts w:ascii="Calibri" w:hAnsi="Calibri"/>
                <w:color w:val="000000"/>
              </w:rPr>
              <w:t>2.2. Con capacidad de 0.5ml en incrementos de 0.1 ml entre 0.5 y 31ml,</w:t>
            </w:r>
          </w:p>
        </w:tc>
      </w:tr>
      <w:tr w:rsidR="00D05BFC" w14:paraId="1871FAFC" w14:textId="77777777" w:rsidTr="00D05BFC">
        <w:tc>
          <w:tcPr>
            <w:tcW w:w="779" w:type="dxa"/>
            <w:vMerge/>
            <w:vAlign w:val="bottom"/>
          </w:tcPr>
          <w:p w14:paraId="0745FE8B" w14:textId="77777777" w:rsidR="00D05BFC" w:rsidRDefault="00D05BFC" w:rsidP="00D05BFC">
            <w:pPr>
              <w:rPr>
                <w:rFonts w:ascii="Calibri" w:hAnsi="Calibri"/>
                <w:color w:val="000000"/>
              </w:rPr>
            </w:pPr>
          </w:p>
        </w:tc>
        <w:tc>
          <w:tcPr>
            <w:tcW w:w="1603" w:type="dxa"/>
            <w:vMerge/>
            <w:vAlign w:val="bottom"/>
          </w:tcPr>
          <w:p w14:paraId="2342C6B5" w14:textId="77777777" w:rsidR="00D05BFC" w:rsidRDefault="00D05BFC" w:rsidP="00D05BFC">
            <w:pPr>
              <w:rPr>
                <w:sz w:val="20"/>
                <w:szCs w:val="20"/>
              </w:rPr>
            </w:pPr>
          </w:p>
        </w:tc>
        <w:tc>
          <w:tcPr>
            <w:tcW w:w="6446" w:type="dxa"/>
            <w:vAlign w:val="bottom"/>
          </w:tcPr>
          <w:p w14:paraId="53CDC7AC" w14:textId="77777777" w:rsidR="00D05BFC" w:rsidRDefault="00D05BFC" w:rsidP="00D05BFC">
            <w:pPr>
              <w:rPr>
                <w:rFonts w:ascii="Calibri" w:hAnsi="Calibri"/>
                <w:color w:val="000000"/>
              </w:rPr>
            </w:pPr>
            <w:r>
              <w:rPr>
                <w:rFonts w:ascii="Calibri" w:hAnsi="Calibri"/>
                <w:color w:val="000000"/>
              </w:rPr>
              <w:t xml:space="preserve">2.3. Incrementos de 1ml ora 31ml y mayores: jeringa para solución salina de: 115ml, </w:t>
            </w:r>
          </w:p>
        </w:tc>
      </w:tr>
      <w:tr w:rsidR="00D05BFC" w14:paraId="3033A695" w14:textId="77777777" w:rsidTr="00D05BFC">
        <w:tc>
          <w:tcPr>
            <w:tcW w:w="779" w:type="dxa"/>
            <w:vMerge/>
            <w:vAlign w:val="bottom"/>
          </w:tcPr>
          <w:p w14:paraId="67B665CB" w14:textId="77777777" w:rsidR="00D05BFC" w:rsidRDefault="00D05BFC" w:rsidP="00D05BFC">
            <w:pPr>
              <w:rPr>
                <w:rFonts w:ascii="Calibri" w:hAnsi="Calibri"/>
                <w:color w:val="000000"/>
              </w:rPr>
            </w:pPr>
          </w:p>
        </w:tc>
        <w:tc>
          <w:tcPr>
            <w:tcW w:w="1603" w:type="dxa"/>
            <w:vMerge/>
            <w:vAlign w:val="bottom"/>
          </w:tcPr>
          <w:p w14:paraId="5B6C0B30" w14:textId="77777777" w:rsidR="00D05BFC" w:rsidRDefault="00D05BFC" w:rsidP="00D05BFC">
            <w:pPr>
              <w:rPr>
                <w:sz w:val="20"/>
                <w:szCs w:val="20"/>
              </w:rPr>
            </w:pPr>
          </w:p>
        </w:tc>
        <w:tc>
          <w:tcPr>
            <w:tcW w:w="6446" w:type="dxa"/>
            <w:vAlign w:val="bottom"/>
          </w:tcPr>
          <w:p w14:paraId="5AF62699" w14:textId="77777777" w:rsidR="00D05BFC" w:rsidRDefault="00D05BFC" w:rsidP="00D05BFC">
            <w:pPr>
              <w:rPr>
                <w:rFonts w:ascii="Calibri" w:hAnsi="Calibri"/>
                <w:color w:val="000000"/>
              </w:rPr>
            </w:pPr>
            <w:r>
              <w:rPr>
                <w:rFonts w:ascii="Calibri" w:hAnsi="Calibri"/>
                <w:color w:val="000000"/>
              </w:rPr>
              <w:t>2.4. Con 1ml para el volumen de jeringa máximo en incrementos de 1ml</w:t>
            </w:r>
          </w:p>
        </w:tc>
      </w:tr>
      <w:tr w:rsidR="00D05BFC" w14:paraId="2CF0675F" w14:textId="77777777" w:rsidTr="00D05BFC">
        <w:tc>
          <w:tcPr>
            <w:tcW w:w="779" w:type="dxa"/>
            <w:vMerge/>
            <w:vAlign w:val="bottom"/>
          </w:tcPr>
          <w:p w14:paraId="488A644A" w14:textId="77777777" w:rsidR="00D05BFC" w:rsidRDefault="00D05BFC" w:rsidP="00D05BFC">
            <w:pPr>
              <w:rPr>
                <w:rFonts w:ascii="Calibri" w:hAnsi="Calibri"/>
                <w:color w:val="000000"/>
              </w:rPr>
            </w:pPr>
          </w:p>
        </w:tc>
        <w:tc>
          <w:tcPr>
            <w:tcW w:w="1603" w:type="dxa"/>
            <w:vMerge/>
            <w:vAlign w:val="bottom"/>
          </w:tcPr>
          <w:p w14:paraId="003653A3" w14:textId="77777777" w:rsidR="00D05BFC" w:rsidRDefault="00D05BFC" w:rsidP="00D05BFC">
            <w:pPr>
              <w:rPr>
                <w:sz w:val="20"/>
                <w:szCs w:val="20"/>
              </w:rPr>
            </w:pPr>
          </w:p>
        </w:tc>
        <w:tc>
          <w:tcPr>
            <w:tcW w:w="6446" w:type="dxa"/>
            <w:vAlign w:val="bottom"/>
          </w:tcPr>
          <w:p w14:paraId="3F334525" w14:textId="77777777" w:rsidR="00D05BFC" w:rsidRDefault="00D05BFC" w:rsidP="00D05BFC">
            <w:pPr>
              <w:rPr>
                <w:rFonts w:ascii="Calibri" w:hAnsi="Calibri"/>
                <w:color w:val="000000"/>
              </w:rPr>
            </w:pPr>
            <w:r>
              <w:rPr>
                <w:rFonts w:ascii="Calibri" w:hAnsi="Calibri"/>
                <w:color w:val="000000"/>
              </w:rPr>
              <w:t>2.5. Velocidad de flujo programable de 0.01 a 10ml/s en incrementos de 0.01ml/s</w:t>
            </w:r>
          </w:p>
        </w:tc>
      </w:tr>
      <w:tr w:rsidR="00547698" w14:paraId="0F7093FC" w14:textId="77777777" w:rsidTr="00D05BFC">
        <w:tc>
          <w:tcPr>
            <w:tcW w:w="779" w:type="dxa"/>
            <w:vMerge/>
            <w:vAlign w:val="bottom"/>
          </w:tcPr>
          <w:p w14:paraId="1DBA81F4" w14:textId="77777777" w:rsidR="00547698" w:rsidRDefault="00547698" w:rsidP="00547698">
            <w:pPr>
              <w:rPr>
                <w:rFonts w:ascii="Calibri" w:hAnsi="Calibri"/>
                <w:color w:val="000000"/>
              </w:rPr>
            </w:pPr>
          </w:p>
        </w:tc>
        <w:tc>
          <w:tcPr>
            <w:tcW w:w="1603" w:type="dxa"/>
            <w:vMerge/>
            <w:vAlign w:val="bottom"/>
          </w:tcPr>
          <w:p w14:paraId="17182A56" w14:textId="77777777" w:rsidR="00547698" w:rsidRDefault="00547698" w:rsidP="00547698">
            <w:pPr>
              <w:rPr>
                <w:sz w:val="20"/>
                <w:szCs w:val="20"/>
              </w:rPr>
            </w:pPr>
          </w:p>
        </w:tc>
        <w:tc>
          <w:tcPr>
            <w:tcW w:w="6446" w:type="dxa"/>
            <w:vAlign w:val="bottom"/>
          </w:tcPr>
          <w:p w14:paraId="151CDDAB" w14:textId="77777777" w:rsidR="00547698" w:rsidRPr="00547698" w:rsidRDefault="00176A41" w:rsidP="00547698">
            <w:pPr>
              <w:rPr>
                <w:rFonts w:ascii="Calibri" w:hAnsi="Calibri"/>
                <w:color w:val="000000"/>
              </w:rPr>
            </w:pPr>
            <w:r>
              <w:rPr>
                <w:rFonts w:ascii="Calibri" w:hAnsi="Calibri"/>
                <w:color w:val="000000"/>
              </w:rPr>
              <w:t xml:space="preserve">2.6. </w:t>
            </w:r>
            <w:r w:rsidR="00547698" w:rsidRPr="00547698">
              <w:rPr>
                <w:rFonts w:ascii="Calibri" w:hAnsi="Calibri"/>
                <w:color w:val="000000"/>
              </w:rPr>
              <w:t>Software:</w:t>
            </w:r>
          </w:p>
        </w:tc>
      </w:tr>
      <w:tr w:rsidR="00547698" w14:paraId="47AAB6EA" w14:textId="77777777" w:rsidTr="00D05BFC">
        <w:tc>
          <w:tcPr>
            <w:tcW w:w="779" w:type="dxa"/>
            <w:vMerge/>
            <w:vAlign w:val="bottom"/>
          </w:tcPr>
          <w:p w14:paraId="6CE9DA20" w14:textId="77777777" w:rsidR="00547698" w:rsidRDefault="00547698" w:rsidP="00547698">
            <w:pPr>
              <w:rPr>
                <w:rFonts w:ascii="Calibri" w:hAnsi="Calibri"/>
                <w:color w:val="000000"/>
              </w:rPr>
            </w:pPr>
          </w:p>
        </w:tc>
        <w:tc>
          <w:tcPr>
            <w:tcW w:w="1603" w:type="dxa"/>
            <w:vMerge/>
            <w:vAlign w:val="bottom"/>
          </w:tcPr>
          <w:p w14:paraId="6261E493" w14:textId="77777777" w:rsidR="00547698" w:rsidRDefault="00547698" w:rsidP="00547698">
            <w:pPr>
              <w:rPr>
                <w:sz w:val="20"/>
                <w:szCs w:val="20"/>
              </w:rPr>
            </w:pPr>
          </w:p>
        </w:tc>
        <w:tc>
          <w:tcPr>
            <w:tcW w:w="6446" w:type="dxa"/>
            <w:vAlign w:val="bottom"/>
          </w:tcPr>
          <w:p w14:paraId="608ACB6B" w14:textId="77777777" w:rsidR="00547698" w:rsidRPr="00547698" w:rsidRDefault="00547698" w:rsidP="00547698">
            <w:pPr>
              <w:rPr>
                <w:rFonts w:ascii="Calibri" w:hAnsi="Calibri"/>
                <w:color w:val="000000"/>
              </w:rPr>
            </w:pPr>
            <w:r>
              <w:rPr>
                <w:rFonts w:ascii="Calibri" w:hAnsi="Calibri"/>
                <w:color w:val="000000"/>
              </w:rPr>
              <w:t xml:space="preserve"> </w:t>
            </w:r>
            <w:r w:rsidR="00176A41">
              <w:rPr>
                <w:rFonts w:ascii="Calibri" w:hAnsi="Calibri"/>
                <w:color w:val="000000"/>
              </w:rPr>
              <w:t xml:space="preserve">2.6.1 </w:t>
            </w:r>
            <w:r w:rsidRPr="00547698">
              <w:rPr>
                <w:rFonts w:ascii="Calibri" w:hAnsi="Calibri"/>
                <w:color w:val="000000"/>
              </w:rPr>
              <w:t>Equipo que cuente con mínimo de 6 fases programables</w:t>
            </w:r>
          </w:p>
        </w:tc>
      </w:tr>
      <w:tr w:rsidR="00547698" w14:paraId="3F40A3B6" w14:textId="77777777" w:rsidTr="00D05BFC">
        <w:tc>
          <w:tcPr>
            <w:tcW w:w="779" w:type="dxa"/>
            <w:vMerge/>
            <w:vAlign w:val="bottom"/>
          </w:tcPr>
          <w:p w14:paraId="7B381030" w14:textId="77777777" w:rsidR="00547698" w:rsidRDefault="00547698" w:rsidP="00547698">
            <w:pPr>
              <w:rPr>
                <w:rFonts w:ascii="Calibri" w:hAnsi="Calibri"/>
                <w:color w:val="000000"/>
              </w:rPr>
            </w:pPr>
          </w:p>
        </w:tc>
        <w:tc>
          <w:tcPr>
            <w:tcW w:w="1603" w:type="dxa"/>
            <w:vMerge/>
            <w:vAlign w:val="bottom"/>
          </w:tcPr>
          <w:p w14:paraId="30D1F1D5" w14:textId="77777777" w:rsidR="00547698" w:rsidRDefault="00547698" w:rsidP="00547698">
            <w:pPr>
              <w:rPr>
                <w:sz w:val="20"/>
                <w:szCs w:val="20"/>
              </w:rPr>
            </w:pPr>
          </w:p>
        </w:tc>
        <w:tc>
          <w:tcPr>
            <w:tcW w:w="6446" w:type="dxa"/>
            <w:vAlign w:val="bottom"/>
          </w:tcPr>
          <w:p w14:paraId="01373D8B" w14:textId="77777777" w:rsidR="00547698" w:rsidRPr="00547698" w:rsidRDefault="00176A41" w:rsidP="00547698">
            <w:pPr>
              <w:rPr>
                <w:rFonts w:ascii="Calibri" w:hAnsi="Calibri"/>
                <w:color w:val="000000"/>
              </w:rPr>
            </w:pPr>
            <w:r>
              <w:rPr>
                <w:rFonts w:ascii="Calibri" w:hAnsi="Calibri"/>
                <w:color w:val="000000"/>
              </w:rPr>
              <w:t xml:space="preserve"> 2.6.2 </w:t>
            </w:r>
            <w:r w:rsidR="00547698">
              <w:rPr>
                <w:rFonts w:ascii="Calibri" w:hAnsi="Calibri"/>
                <w:color w:val="000000"/>
              </w:rPr>
              <w:t>Función de Vena permeable</w:t>
            </w:r>
          </w:p>
        </w:tc>
      </w:tr>
      <w:tr w:rsidR="00547698" w14:paraId="11D959F2" w14:textId="77777777" w:rsidTr="00D05BFC">
        <w:tc>
          <w:tcPr>
            <w:tcW w:w="779" w:type="dxa"/>
            <w:vMerge/>
            <w:vAlign w:val="bottom"/>
          </w:tcPr>
          <w:p w14:paraId="2DD54906" w14:textId="77777777" w:rsidR="00547698" w:rsidRDefault="00547698" w:rsidP="00547698">
            <w:pPr>
              <w:rPr>
                <w:rFonts w:ascii="Calibri" w:hAnsi="Calibri"/>
                <w:color w:val="000000"/>
              </w:rPr>
            </w:pPr>
          </w:p>
        </w:tc>
        <w:tc>
          <w:tcPr>
            <w:tcW w:w="1603" w:type="dxa"/>
            <w:vMerge/>
            <w:vAlign w:val="bottom"/>
          </w:tcPr>
          <w:p w14:paraId="6A5F2A31" w14:textId="77777777" w:rsidR="00547698" w:rsidRDefault="00547698" w:rsidP="00547698">
            <w:pPr>
              <w:rPr>
                <w:sz w:val="20"/>
                <w:szCs w:val="20"/>
              </w:rPr>
            </w:pPr>
          </w:p>
        </w:tc>
        <w:tc>
          <w:tcPr>
            <w:tcW w:w="6446" w:type="dxa"/>
            <w:vAlign w:val="bottom"/>
          </w:tcPr>
          <w:p w14:paraId="5FE290C9" w14:textId="77777777" w:rsidR="00547698" w:rsidRPr="00547698" w:rsidRDefault="00176A41" w:rsidP="00547698">
            <w:pPr>
              <w:rPr>
                <w:rFonts w:ascii="Calibri" w:hAnsi="Calibri"/>
                <w:color w:val="000000"/>
              </w:rPr>
            </w:pPr>
            <w:r>
              <w:rPr>
                <w:rFonts w:ascii="Calibri" w:hAnsi="Calibri"/>
                <w:color w:val="000000"/>
              </w:rPr>
              <w:t xml:space="preserve">2.8. </w:t>
            </w:r>
            <w:r w:rsidR="00547698" w:rsidRPr="00547698">
              <w:rPr>
                <w:rFonts w:ascii="Calibri" w:hAnsi="Calibri"/>
                <w:color w:val="000000"/>
              </w:rPr>
              <w:t xml:space="preserve">Conexión de equipo en base de fibra óptica para disminución de ruidos en accesorios. </w:t>
            </w:r>
          </w:p>
        </w:tc>
      </w:tr>
      <w:tr w:rsidR="00547698" w14:paraId="2FC91E71" w14:textId="77777777" w:rsidTr="00D05BFC">
        <w:tc>
          <w:tcPr>
            <w:tcW w:w="779" w:type="dxa"/>
            <w:vMerge/>
            <w:vAlign w:val="bottom"/>
          </w:tcPr>
          <w:p w14:paraId="5A5C541B" w14:textId="77777777" w:rsidR="00547698" w:rsidRDefault="00547698" w:rsidP="00547698">
            <w:pPr>
              <w:rPr>
                <w:rFonts w:ascii="Calibri" w:hAnsi="Calibri"/>
                <w:color w:val="000000"/>
              </w:rPr>
            </w:pPr>
          </w:p>
        </w:tc>
        <w:tc>
          <w:tcPr>
            <w:tcW w:w="1603" w:type="dxa"/>
            <w:vMerge/>
            <w:vAlign w:val="bottom"/>
          </w:tcPr>
          <w:p w14:paraId="23137CAE" w14:textId="77777777" w:rsidR="00547698" w:rsidRDefault="00547698" w:rsidP="00547698">
            <w:pPr>
              <w:rPr>
                <w:sz w:val="20"/>
                <w:szCs w:val="20"/>
              </w:rPr>
            </w:pPr>
          </w:p>
        </w:tc>
        <w:tc>
          <w:tcPr>
            <w:tcW w:w="6446" w:type="dxa"/>
            <w:vAlign w:val="bottom"/>
          </w:tcPr>
          <w:p w14:paraId="3DA2F621" w14:textId="77777777" w:rsidR="00547698" w:rsidRDefault="00176A41" w:rsidP="00547698">
            <w:pPr>
              <w:rPr>
                <w:rFonts w:ascii="Calibri" w:hAnsi="Calibri"/>
                <w:color w:val="000000"/>
              </w:rPr>
            </w:pPr>
            <w:r>
              <w:rPr>
                <w:rFonts w:ascii="Calibri" w:hAnsi="Calibri"/>
                <w:color w:val="000000"/>
              </w:rPr>
              <w:t>2.9</w:t>
            </w:r>
            <w:r w:rsidR="00547698">
              <w:rPr>
                <w:rFonts w:ascii="Calibri" w:hAnsi="Calibri"/>
                <w:color w:val="000000"/>
              </w:rPr>
              <w:t>. Instalación 100-240 VAC, 50/60 Hz.</w:t>
            </w:r>
          </w:p>
        </w:tc>
      </w:tr>
      <w:tr w:rsidR="00234950" w14:paraId="2863E0B1" w14:textId="77777777" w:rsidTr="00D05BFC">
        <w:tc>
          <w:tcPr>
            <w:tcW w:w="779" w:type="dxa"/>
            <w:vAlign w:val="bottom"/>
          </w:tcPr>
          <w:p w14:paraId="51A18F58" w14:textId="77777777" w:rsidR="00234950" w:rsidRDefault="00234950" w:rsidP="00547698">
            <w:pPr>
              <w:rPr>
                <w:rFonts w:ascii="Calibri" w:hAnsi="Calibri"/>
                <w:color w:val="000000"/>
              </w:rPr>
            </w:pPr>
            <w:r>
              <w:rPr>
                <w:rFonts w:ascii="Calibri" w:hAnsi="Calibri"/>
                <w:color w:val="000000"/>
              </w:rPr>
              <w:t>2</w:t>
            </w:r>
          </w:p>
        </w:tc>
        <w:tc>
          <w:tcPr>
            <w:tcW w:w="1603" w:type="dxa"/>
            <w:vAlign w:val="bottom"/>
          </w:tcPr>
          <w:p w14:paraId="3E0508F2" w14:textId="77777777" w:rsidR="00234950" w:rsidRDefault="00234950" w:rsidP="00547698">
            <w:pPr>
              <w:rPr>
                <w:sz w:val="20"/>
                <w:szCs w:val="20"/>
              </w:rPr>
            </w:pPr>
            <w:r>
              <w:rPr>
                <w:sz w:val="20"/>
                <w:szCs w:val="20"/>
              </w:rPr>
              <w:t>CHIHUAHUA</w:t>
            </w:r>
          </w:p>
        </w:tc>
        <w:tc>
          <w:tcPr>
            <w:tcW w:w="6446" w:type="dxa"/>
            <w:vAlign w:val="bottom"/>
          </w:tcPr>
          <w:p w14:paraId="62350DEB" w14:textId="77777777" w:rsidR="00234950" w:rsidRPr="00F432FF" w:rsidRDefault="00234950" w:rsidP="00234950">
            <w:pPr>
              <w:rPr>
                <w:rFonts w:ascii="Calibri" w:hAnsi="Calibri"/>
                <w:b/>
                <w:color w:val="000000"/>
              </w:rPr>
            </w:pPr>
            <w:r w:rsidRPr="00F432FF">
              <w:rPr>
                <w:rFonts w:ascii="Calibri" w:hAnsi="Calibri"/>
                <w:b/>
                <w:color w:val="000000"/>
              </w:rPr>
              <w:t xml:space="preserve">3.EQUIPOS CALENTADOR </w:t>
            </w:r>
            <w:r w:rsidR="009C7976" w:rsidRPr="00F432FF">
              <w:rPr>
                <w:rFonts w:ascii="Calibri" w:hAnsi="Calibri"/>
                <w:b/>
                <w:color w:val="000000"/>
              </w:rPr>
              <w:t>DE MEDIOS DE CONTASTE</w:t>
            </w:r>
          </w:p>
        </w:tc>
      </w:tr>
      <w:tr w:rsidR="00234950" w14:paraId="7664817B" w14:textId="77777777" w:rsidTr="00D05BFC">
        <w:tc>
          <w:tcPr>
            <w:tcW w:w="779" w:type="dxa"/>
            <w:vAlign w:val="bottom"/>
          </w:tcPr>
          <w:p w14:paraId="1AAFA47E" w14:textId="77777777" w:rsidR="00234950" w:rsidRDefault="00F432FF" w:rsidP="00547698">
            <w:pPr>
              <w:rPr>
                <w:rFonts w:ascii="Calibri" w:hAnsi="Calibri"/>
                <w:color w:val="000000"/>
              </w:rPr>
            </w:pPr>
            <w:r>
              <w:rPr>
                <w:rFonts w:ascii="Calibri" w:hAnsi="Calibri"/>
                <w:color w:val="000000"/>
              </w:rPr>
              <w:t>1</w:t>
            </w:r>
          </w:p>
        </w:tc>
        <w:tc>
          <w:tcPr>
            <w:tcW w:w="1603" w:type="dxa"/>
            <w:vAlign w:val="bottom"/>
          </w:tcPr>
          <w:p w14:paraId="5F464678" w14:textId="77777777" w:rsidR="00234950" w:rsidRDefault="00F432FF" w:rsidP="00547698">
            <w:pPr>
              <w:rPr>
                <w:sz w:val="20"/>
                <w:szCs w:val="20"/>
              </w:rPr>
            </w:pPr>
            <w:r>
              <w:rPr>
                <w:sz w:val="20"/>
                <w:szCs w:val="20"/>
              </w:rPr>
              <w:t>CIUDAD JUÁREZ</w:t>
            </w:r>
          </w:p>
        </w:tc>
        <w:tc>
          <w:tcPr>
            <w:tcW w:w="6446" w:type="dxa"/>
            <w:vAlign w:val="bottom"/>
          </w:tcPr>
          <w:p w14:paraId="260A5B7D" w14:textId="77777777" w:rsidR="00234950" w:rsidRDefault="00F432FF" w:rsidP="00234950">
            <w:pPr>
              <w:rPr>
                <w:rFonts w:ascii="Calibri" w:hAnsi="Calibri"/>
                <w:color w:val="000000"/>
              </w:rPr>
            </w:pPr>
            <w:r>
              <w:rPr>
                <w:rFonts w:ascii="Calibri" w:hAnsi="Calibri"/>
                <w:color w:val="000000"/>
              </w:rPr>
              <w:t>EQUIPO CALENTADOR DE MEDIOS DE CONTRASTE</w:t>
            </w:r>
          </w:p>
        </w:tc>
      </w:tr>
    </w:tbl>
    <w:p w14:paraId="08C838EF" w14:textId="77777777" w:rsidR="004E1A87" w:rsidRPr="00000B88" w:rsidRDefault="004E1A87" w:rsidP="004E1A87">
      <w:pPr>
        <w:spacing w:after="114"/>
        <w:jc w:val="both"/>
        <w:rPr>
          <w:rFonts w:cs="Arial"/>
          <w:b/>
        </w:rPr>
      </w:pPr>
    </w:p>
    <w:p w14:paraId="043CD603" w14:textId="77777777" w:rsidR="00F73A02" w:rsidRPr="00F64E37" w:rsidRDefault="00F73A02" w:rsidP="00F73A02">
      <w:pPr>
        <w:jc w:val="both"/>
        <w:rPr>
          <w:rFonts w:ascii="Calibri" w:hAnsi="Calibri"/>
        </w:rPr>
      </w:pPr>
      <w:r w:rsidRPr="00F64E37">
        <w:rPr>
          <w:rFonts w:ascii="Calibri" w:hAnsi="Calibri"/>
        </w:rPr>
        <w:t xml:space="preserve">El licitante adjudicado deberá proporcionar e instalar los equipos para la prestación del servicio en un tiempo acordado en conjunto con la institución pero en acorde con los tiempos máximos </w:t>
      </w:r>
      <w:r w:rsidRPr="00F64E37">
        <w:rPr>
          <w:rFonts w:ascii="Calibri" w:hAnsi="Calibri"/>
          <w:u w:val="single"/>
        </w:rPr>
        <w:t>después de la emisión del contrato</w:t>
      </w:r>
      <w:r w:rsidRPr="00F64E37">
        <w:rPr>
          <w:rFonts w:ascii="Calibri" w:hAnsi="Calibri"/>
        </w:rPr>
        <w:t xml:space="preserve"> que se describen a continuación, las que deberán cumplir con las especificaciones técnicas del Cuadro Básico Inter-Institucional y  haber sido  ensambladas de manera integral en el país de origen; no se aceptarán propuestas de bienes correspondientes a saldos o remanentes que ostenten las leyendas “Only Export” ni “Only Investigation”, descontinuados o no se autorice su uso en el país de origen, o que cuenten con  alertas médicas o de concentraciones por parte de las autoridades sanitarias.  </w:t>
      </w:r>
    </w:p>
    <w:tbl>
      <w:tblPr>
        <w:tblStyle w:val="Tablaconcuadrcula"/>
        <w:tblW w:w="5000" w:type="pct"/>
        <w:jc w:val="center"/>
        <w:tblLook w:val="04A0" w:firstRow="1" w:lastRow="0" w:firstColumn="1" w:lastColumn="0" w:noHBand="0" w:noVBand="1"/>
      </w:tblPr>
      <w:tblGrid>
        <w:gridCol w:w="3236"/>
        <w:gridCol w:w="2947"/>
        <w:gridCol w:w="2645"/>
      </w:tblGrid>
      <w:tr w:rsidR="00F73A02" w:rsidRPr="00F64E37" w14:paraId="4E007991" w14:textId="77777777" w:rsidTr="00D05BFC">
        <w:trPr>
          <w:jc w:val="center"/>
        </w:trPr>
        <w:tc>
          <w:tcPr>
            <w:tcW w:w="1833" w:type="pct"/>
            <w:vAlign w:val="center"/>
          </w:tcPr>
          <w:p w14:paraId="2CEAD282" w14:textId="77777777" w:rsidR="00F73A02" w:rsidRPr="00F64E37" w:rsidRDefault="00F73A02" w:rsidP="00D05BFC">
            <w:pPr>
              <w:jc w:val="center"/>
              <w:rPr>
                <w:rFonts w:ascii="Calibri" w:hAnsi="Calibri"/>
                <w:b/>
              </w:rPr>
            </w:pPr>
            <w:r w:rsidRPr="00F64E37">
              <w:rPr>
                <w:rFonts w:ascii="Calibri" w:hAnsi="Calibri"/>
                <w:b/>
              </w:rPr>
              <w:lastRenderedPageBreak/>
              <w:t>EQUIPO</w:t>
            </w:r>
          </w:p>
        </w:tc>
        <w:tc>
          <w:tcPr>
            <w:tcW w:w="1669" w:type="pct"/>
            <w:vAlign w:val="center"/>
          </w:tcPr>
          <w:p w14:paraId="479A9F84" w14:textId="77777777" w:rsidR="00F73A02" w:rsidRPr="00F64E37" w:rsidRDefault="00F73A02" w:rsidP="00D05BFC">
            <w:pPr>
              <w:jc w:val="center"/>
              <w:rPr>
                <w:rFonts w:ascii="Calibri" w:hAnsi="Calibri"/>
                <w:b/>
              </w:rPr>
            </w:pPr>
            <w:r w:rsidRPr="00F64E37">
              <w:rPr>
                <w:rFonts w:ascii="Calibri" w:hAnsi="Calibri"/>
                <w:b/>
              </w:rPr>
              <w:t>DELEGACIÓN</w:t>
            </w:r>
          </w:p>
        </w:tc>
        <w:tc>
          <w:tcPr>
            <w:tcW w:w="1498" w:type="pct"/>
            <w:vAlign w:val="center"/>
          </w:tcPr>
          <w:p w14:paraId="11E66013" w14:textId="77777777" w:rsidR="00F73A02" w:rsidRPr="00F64E37" w:rsidRDefault="00F73A02" w:rsidP="00D05BFC">
            <w:pPr>
              <w:jc w:val="center"/>
              <w:rPr>
                <w:rFonts w:ascii="Calibri" w:hAnsi="Calibri"/>
                <w:b/>
              </w:rPr>
            </w:pPr>
            <w:r w:rsidRPr="00F64E37">
              <w:rPr>
                <w:rFonts w:ascii="Calibri" w:hAnsi="Calibri"/>
                <w:b/>
              </w:rPr>
              <w:t>TIEMPO MÁXIMO</w:t>
            </w:r>
          </w:p>
        </w:tc>
      </w:tr>
      <w:tr w:rsidR="00F73A02" w:rsidRPr="00F64E37" w14:paraId="5D7BF8E9" w14:textId="77777777" w:rsidTr="00D05BFC">
        <w:trPr>
          <w:jc w:val="center"/>
        </w:trPr>
        <w:tc>
          <w:tcPr>
            <w:tcW w:w="1833" w:type="pct"/>
            <w:vAlign w:val="center"/>
          </w:tcPr>
          <w:p w14:paraId="03448027" w14:textId="77777777" w:rsidR="00F73A02" w:rsidRPr="00F64E37" w:rsidRDefault="00F73A02" w:rsidP="00B77002">
            <w:pPr>
              <w:rPr>
                <w:rFonts w:ascii="Calibri" w:hAnsi="Calibri"/>
              </w:rPr>
            </w:pPr>
            <w:r>
              <w:rPr>
                <w:rFonts w:ascii="Calibri" w:hAnsi="Calibri" w:cstheme="minorHAnsi"/>
              </w:rPr>
              <w:t>INYECTOR AUTOMÁTICO DE MEDIO DE CONTRASTE</w:t>
            </w:r>
          </w:p>
        </w:tc>
        <w:tc>
          <w:tcPr>
            <w:tcW w:w="1669" w:type="pct"/>
            <w:vAlign w:val="center"/>
          </w:tcPr>
          <w:p w14:paraId="75F50ECA" w14:textId="77777777" w:rsidR="00F73A02" w:rsidRPr="00F64E37" w:rsidRDefault="00F73A02" w:rsidP="00D05BFC">
            <w:pPr>
              <w:jc w:val="center"/>
              <w:rPr>
                <w:rFonts w:ascii="Calibri" w:hAnsi="Calibri"/>
              </w:rPr>
            </w:pPr>
            <w:r w:rsidRPr="00F64E37">
              <w:rPr>
                <w:rFonts w:ascii="Calibri" w:hAnsi="Calibri"/>
              </w:rPr>
              <w:t>CHIHUAHUA</w:t>
            </w:r>
          </w:p>
        </w:tc>
        <w:tc>
          <w:tcPr>
            <w:tcW w:w="1498" w:type="pct"/>
            <w:vAlign w:val="center"/>
          </w:tcPr>
          <w:p w14:paraId="5545452F" w14:textId="77777777" w:rsidR="00F73A02" w:rsidRPr="00F64E37" w:rsidRDefault="00F73A02" w:rsidP="00D05BFC">
            <w:pPr>
              <w:jc w:val="center"/>
              <w:rPr>
                <w:rFonts w:ascii="Calibri" w:hAnsi="Calibri"/>
              </w:rPr>
            </w:pPr>
            <w:r>
              <w:rPr>
                <w:rFonts w:ascii="Calibri" w:hAnsi="Calibri"/>
              </w:rPr>
              <w:t>3</w:t>
            </w:r>
            <w:r w:rsidRPr="00F64E37">
              <w:rPr>
                <w:rFonts w:ascii="Calibri" w:hAnsi="Calibri"/>
              </w:rPr>
              <w:t xml:space="preserve"> SEMANAS</w:t>
            </w:r>
          </w:p>
        </w:tc>
      </w:tr>
      <w:tr w:rsidR="00F432FF" w:rsidRPr="00F64E37" w14:paraId="7DDDBF5D" w14:textId="77777777" w:rsidTr="00D05BFC">
        <w:trPr>
          <w:jc w:val="center"/>
        </w:trPr>
        <w:tc>
          <w:tcPr>
            <w:tcW w:w="1833" w:type="pct"/>
            <w:vAlign w:val="center"/>
          </w:tcPr>
          <w:p w14:paraId="7808DE81" w14:textId="77777777" w:rsidR="00F432FF" w:rsidRDefault="00F432FF" w:rsidP="00B77002">
            <w:pPr>
              <w:rPr>
                <w:rFonts w:ascii="Calibri" w:hAnsi="Calibri" w:cstheme="minorHAnsi"/>
              </w:rPr>
            </w:pPr>
            <w:r>
              <w:rPr>
                <w:rFonts w:ascii="Calibri" w:hAnsi="Calibri" w:cstheme="minorHAnsi"/>
              </w:rPr>
              <w:t>EQUIPO CALENTADOR DE MEDIOS DE CONTRASTE</w:t>
            </w:r>
          </w:p>
        </w:tc>
        <w:tc>
          <w:tcPr>
            <w:tcW w:w="1669" w:type="pct"/>
            <w:vAlign w:val="center"/>
          </w:tcPr>
          <w:p w14:paraId="074CEF3B" w14:textId="77777777" w:rsidR="00F432FF" w:rsidRPr="00F64E37" w:rsidRDefault="00F432FF" w:rsidP="00D05BFC">
            <w:pPr>
              <w:jc w:val="center"/>
              <w:rPr>
                <w:rFonts w:ascii="Calibri" w:hAnsi="Calibri"/>
              </w:rPr>
            </w:pPr>
            <w:r>
              <w:rPr>
                <w:rFonts w:ascii="Calibri" w:hAnsi="Calibri"/>
              </w:rPr>
              <w:t>CHIHUAHUA Y CIUDAD JUÁREZ</w:t>
            </w:r>
          </w:p>
        </w:tc>
        <w:tc>
          <w:tcPr>
            <w:tcW w:w="1498" w:type="pct"/>
            <w:vAlign w:val="center"/>
          </w:tcPr>
          <w:p w14:paraId="2D82615C" w14:textId="77777777" w:rsidR="00F432FF" w:rsidRDefault="00F432FF" w:rsidP="00D05BFC">
            <w:pPr>
              <w:jc w:val="center"/>
              <w:rPr>
                <w:rFonts w:ascii="Calibri" w:hAnsi="Calibri"/>
              </w:rPr>
            </w:pPr>
            <w:r>
              <w:rPr>
                <w:rFonts w:ascii="Calibri" w:hAnsi="Calibri"/>
              </w:rPr>
              <w:t>1 SEMANA</w:t>
            </w:r>
          </w:p>
        </w:tc>
      </w:tr>
    </w:tbl>
    <w:p w14:paraId="3F0354C9" w14:textId="77777777" w:rsidR="00D05BFC" w:rsidRDefault="00D05BFC" w:rsidP="004E1A87">
      <w:pPr>
        <w:jc w:val="both"/>
        <w:rPr>
          <w:rFonts w:cs="Arial"/>
        </w:rPr>
      </w:pPr>
    </w:p>
    <w:p w14:paraId="7DD8828D" w14:textId="77777777" w:rsidR="004E1A87" w:rsidRPr="00000B88" w:rsidRDefault="004E1A87" w:rsidP="004E1A87">
      <w:pPr>
        <w:jc w:val="both"/>
        <w:rPr>
          <w:rFonts w:cs="Arial"/>
        </w:rPr>
      </w:pPr>
      <w:r w:rsidRPr="00000B88">
        <w:rPr>
          <w:rFonts w:cs="Arial"/>
        </w:rPr>
        <w:t xml:space="preserve">Al término de la vigencia del contrato, el proveedor se obliga a retirar las máquinas que son de su propiedad, instalados por el mismo para el cumplimiento del contrato. </w:t>
      </w:r>
    </w:p>
    <w:p w14:paraId="76154BC3" w14:textId="77777777" w:rsidR="002B3CA9" w:rsidRPr="00F64E37" w:rsidRDefault="002B3CA9" w:rsidP="00234950">
      <w:pPr>
        <w:pStyle w:val="Prrafodelista"/>
        <w:numPr>
          <w:ilvl w:val="0"/>
          <w:numId w:val="8"/>
        </w:numPr>
        <w:jc w:val="both"/>
        <w:rPr>
          <w:rFonts w:ascii="Calibri" w:hAnsi="Calibri"/>
          <w:b/>
        </w:rPr>
      </w:pPr>
      <w:r w:rsidRPr="00F64E37">
        <w:rPr>
          <w:rFonts w:ascii="Calibri" w:hAnsi="Calibri"/>
          <w:b/>
        </w:rPr>
        <w:t xml:space="preserve">INSTALACIÓN. </w:t>
      </w:r>
    </w:p>
    <w:p w14:paraId="2A087173" w14:textId="77777777" w:rsidR="002B3CA9" w:rsidRPr="00F64E37" w:rsidRDefault="002B3CA9" w:rsidP="002B3CA9">
      <w:pPr>
        <w:jc w:val="both"/>
        <w:rPr>
          <w:rFonts w:ascii="Calibri" w:hAnsi="Calibri"/>
        </w:rPr>
      </w:pPr>
      <w:r w:rsidRPr="00F64E37">
        <w:rPr>
          <w:rFonts w:ascii="Calibri" w:hAnsi="Calibri"/>
        </w:rPr>
        <w:t xml:space="preserve">Se requiere de adecuar e instalar el equipo a las instalaciones eléctricas, neumáticas, hidráulicas y sanitarias que se requieran. </w:t>
      </w:r>
    </w:p>
    <w:p w14:paraId="20F51B20" w14:textId="77777777" w:rsidR="002B3CA9" w:rsidRPr="00F64E37" w:rsidRDefault="002B3CA9" w:rsidP="002B3CA9">
      <w:pPr>
        <w:jc w:val="both"/>
        <w:rPr>
          <w:rFonts w:ascii="Calibri" w:hAnsi="Calibri"/>
        </w:rPr>
      </w:pPr>
      <w:r w:rsidRPr="00F64E37">
        <w:rPr>
          <w:rFonts w:ascii="Calibri" w:hAnsi="Calibri"/>
        </w:rPr>
        <w:t>La instalac</w:t>
      </w:r>
      <w:r w:rsidR="009A3345">
        <w:rPr>
          <w:rFonts w:ascii="Calibri" w:hAnsi="Calibri"/>
        </w:rPr>
        <w:t>ión y puesta en marcha será de la total</w:t>
      </w:r>
      <w:r w:rsidRPr="00F64E37">
        <w:rPr>
          <w:rFonts w:ascii="Calibri" w:hAnsi="Calibri"/>
        </w:rPr>
        <w:t xml:space="preserve"> responsabilidad del proveedor, de igual manera el funcionamiento de sus consumibles y accesorios solicitados, como es el caso de UPS y demás accesorios requeridos. Todo bajo el cumplimiento de la Normatividad Mexicana.</w:t>
      </w:r>
    </w:p>
    <w:p w14:paraId="761E6600" w14:textId="77777777" w:rsidR="002B3CA9" w:rsidRPr="00F64E37" w:rsidRDefault="002B3CA9" w:rsidP="002B3CA9">
      <w:pPr>
        <w:jc w:val="both"/>
        <w:rPr>
          <w:rFonts w:ascii="Calibri" w:hAnsi="Calibri"/>
        </w:rPr>
      </w:pPr>
      <w:r w:rsidRPr="00F64E37">
        <w:rPr>
          <w:rFonts w:ascii="Calibri" w:hAnsi="Calibri"/>
        </w:rPr>
        <w:t>El proveedor en la propuesta debe entregar una calendarización aproximada del tiempo de instalación. En el caso de los bienes que requieran de aditamentos para su puesta en operación y uso continuo, el importe de los mismos correrá a cuenta del licitante adjudicado.</w:t>
      </w:r>
    </w:p>
    <w:p w14:paraId="073C03DE" w14:textId="77777777" w:rsidR="002B3CA9" w:rsidRPr="00F64E37" w:rsidRDefault="002B3CA9" w:rsidP="002B3CA9">
      <w:pPr>
        <w:jc w:val="both"/>
        <w:rPr>
          <w:rFonts w:ascii="Calibri" w:hAnsi="Calibri"/>
        </w:rPr>
      </w:pPr>
      <w:r w:rsidRPr="00F64E37">
        <w:rPr>
          <w:rFonts w:ascii="Calibri" w:hAnsi="Calibri"/>
        </w:rPr>
        <w:t>Los proveedores deberán hacer entrega de las licencias liberadas del software, aplicativos de configuración y claves de acceso del equipo para uso irrestricto de la institución.</w:t>
      </w:r>
    </w:p>
    <w:p w14:paraId="246D047D" w14:textId="77777777" w:rsidR="00B130BD" w:rsidRDefault="002B3CA9" w:rsidP="00B130BD">
      <w:pPr>
        <w:jc w:val="both"/>
        <w:rPr>
          <w:rFonts w:ascii="Calibri" w:hAnsi="Calibri"/>
        </w:rPr>
      </w:pPr>
      <w:r w:rsidRPr="00F64E37">
        <w:rPr>
          <w:rFonts w:ascii="Calibri" w:hAnsi="Calibri"/>
        </w:rPr>
        <w:t xml:space="preserve">Para la instalación de los bienes, el proveedor deberá informar por escrito, dirigido al Departamento de Recursos Materiales con copia a la Dirección Médica de la institución con un mínimo de cinco días hábiles anteriores a la fecha en que se programe el inicio de los trabajos de instalación, debiendo quedar constancia de recepción de dicha comunicación por parte de la Institución. Así mismo se </w:t>
      </w:r>
      <w:r w:rsidR="00B130BD" w:rsidRPr="00F64E37">
        <w:rPr>
          <w:rFonts w:ascii="Calibri" w:hAnsi="Calibri"/>
        </w:rPr>
        <w:t>deberá informar</w:t>
      </w:r>
      <w:r w:rsidRPr="00F64E37">
        <w:rPr>
          <w:rFonts w:ascii="Calibri" w:hAnsi="Calibri"/>
        </w:rPr>
        <w:t xml:space="preserve"> vía correo electrónico al personal designado en su momento por la Institución.  </w:t>
      </w:r>
    </w:p>
    <w:p w14:paraId="0551E2AA" w14:textId="77777777" w:rsidR="00B130BD" w:rsidRDefault="00B130BD" w:rsidP="00B130BD">
      <w:pPr>
        <w:jc w:val="both"/>
        <w:rPr>
          <w:rFonts w:ascii="Calibri" w:hAnsi="Calibri"/>
        </w:rPr>
      </w:pPr>
      <w:r w:rsidRPr="00B130BD">
        <w:rPr>
          <w:rFonts w:ascii="Calibri" w:hAnsi="Calibri"/>
        </w:rPr>
        <w:t xml:space="preserve">El proveedor deberá entregar junto con los bienes, una orden de servicio de entrega, recepción, instalación, puesta en marcha y capacitación de personal debidamente firmada y sellada, además de la siguiente papelería: </w:t>
      </w:r>
    </w:p>
    <w:p w14:paraId="31715087"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Original carta garantía con datos para contactar al proveedor.</w:t>
      </w:r>
    </w:p>
    <w:p w14:paraId="632B0A6E"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Original programa de mantenimiento preventivo con todas sus fechas y rutinas de actividades a realizar.</w:t>
      </w:r>
    </w:p>
    <w:p w14:paraId="053C116E"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Original orden de servicio de instalación.</w:t>
      </w:r>
    </w:p>
    <w:p w14:paraId="6C7558EA"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Original listado de personal capacitado.</w:t>
      </w:r>
    </w:p>
    <w:p w14:paraId="6CE0EC6F"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Manual de usuario en español (1 impreso y 1 CD-ROM o USB)</w:t>
      </w:r>
    </w:p>
    <w:p w14:paraId="0BDB6007"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Manual de servicio en español (1 impreso y 1 CD-ROM o USB)</w:t>
      </w:r>
    </w:p>
    <w:p w14:paraId="79FFB033" w14:textId="77777777" w:rsidR="002B3CA9" w:rsidRPr="00F64E37" w:rsidRDefault="002B3CA9" w:rsidP="002B3CA9">
      <w:pPr>
        <w:pStyle w:val="Prrafodelista"/>
        <w:jc w:val="both"/>
        <w:rPr>
          <w:rFonts w:ascii="Calibri" w:hAnsi="Calibri"/>
          <w:b/>
        </w:rPr>
      </w:pPr>
    </w:p>
    <w:p w14:paraId="6117958D" w14:textId="77777777" w:rsidR="002B3CA9" w:rsidRPr="00F64E37" w:rsidRDefault="002B3CA9" w:rsidP="00234950">
      <w:pPr>
        <w:pStyle w:val="Prrafodelista"/>
        <w:numPr>
          <w:ilvl w:val="0"/>
          <w:numId w:val="8"/>
        </w:numPr>
        <w:jc w:val="both"/>
        <w:rPr>
          <w:rFonts w:ascii="Calibri" w:hAnsi="Calibri"/>
          <w:b/>
        </w:rPr>
      </w:pPr>
      <w:r w:rsidRPr="00F64E37">
        <w:rPr>
          <w:rFonts w:ascii="Calibri" w:hAnsi="Calibri"/>
          <w:b/>
        </w:rPr>
        <w:t xml:space="preserve">MANTENIMIENTO PREVENTIVO Y CORRECTIVO. </w:t>
      </w:r>
    </w:p>
    <w:p w14:paraId="60D13A55" w14:textId="77777777" w:rsidR="002B3CA9" w:rsidRPr="00F64E37" w:rsidRDefault="002B3CA9" w:rsidP="002B3CA9">
      <w:pPr>
        <w:jc w:val="both"/>
        <w:rPr>
          <w:rFonts w:ascii="Calibri" w:hAnsi="Calibri"/>
        </w:rPr>
      </w:pPr>
      <w:r w:rsidRPr="00F64E37">
        <w:rPr>
          <w:rFonts w:ascii="Calibri" w:hAnsi="Calibri"/>
        </w:rPr>
        <w:t xml:space="preserve">El proveedor adjudicado deberá proporcionar sin costo adicional durante la vigencia del contrato de prestación de servicios, el mantenimiento preventivo y correctivo que se transcribe a continuación, con mano de obra, refacciones, lubricantes y demás actividades y materiales que en su caso fuesen necesarias para la correcta operación de sus equipos.  </w:t>
      </w:r>
    </w:p>
    <w:p w14:paraId="55B7AF3C" w14:textId="77777777" w:rsidR="002B3CA9" w:rsidRPr="00F64E37" w:rsidRDefault="002B3CA9" w:rsidP="002B3CA9">
      <w:pPr>
        <w:pStyle w:val="Prrafodelista"/>
        <w:numPr>
          <w:ilvl w:val="0"/>
          <w:numId w:val="11"/>
        </w:numPr>
        <w:jc w:val="both"/>
        <w:rPr>
          <w:rFonts w:ascii="Calibri" w:hAnsi="Calibri"/>
        </w:rPr>
      </w:pPr>
      <w:r w:rsidRPr="00F64E37">
        <w:rPr>
          <w:rFonts w:ascii="Calibri" w:hAnsi="Calibri"/>
        </w:rPr>
        <w:t>El mantenimiento preventivo se refiere a la actividad que debe realizarse de acuerdo a un calendario previamente establecido, considerando las recomendaciones del fabricante de los equipos. Así como pruebas eléctricas a instalaciones y equipamiento rutinarias.</w:t>
      </w:r>
    </w:p>
    <w:p w14:paraId="02CA8145" w14:textId="77777777" w:rsidR="002B3CA9" w:rsidRPr="00F64E37" w:rsidRDefault="002B3CA9" w:rsidP="002B3CA9">
      <w:pPr>
        <w:pStyle w:val="Prrafodelista"/>
        <w:numPr>
          <w:ilvl w:val="0"/>
          <w:numId w:val="11"/>
        </w:numPr>
        <w:jc w:val="both"/>
        <w:rPr>
          <w:rFonts w:ascii="Calibri" w:hAnsi="Calibri"/>
        </w:rPr>
      </w:pPr>
      <w:r w:rsidRPr="00F64E37">
        <w:rPr>
          <w:rFonts w:ascii="Calibri" w:hAnsi="Calibri"/>
        </w:rPr>
        <w:t xml:space="preserve">El mantenimiento correctivo se refiere a aquel que repara o corrige averías o defectos localizados y/o observados a equipamiento e instalaciones, al reemplazo de la o las partes de alguno de los equipos, que se hayan dañado o desgastado, por partes nuevas y originales. </w:t>
      </w:r>
    </w:p>
    <w:p w14:paraId="2DCDD9D5" w14:textId="77777777" w:rsidR="002B3CA9" w:rsidRPr="00F64E37" w:rsidRDefault="002B3CA9" w:rsidP="002B3CA9">
      <w:pPr>
        <w:jc w:val="both"/>
        <w:rPr>
          <w:rFonts w:ascii="Calibri" w:hAnsi="Calibri"/>
        </w:rPr>
      </w:pPr>
      <w:r w:rsidRPr="00F64E37">
        <w:rPr>
          <w:rFonts w:ascii="Calibri" w:hAnsi="Calibri"/>
        </w:rPr>
        <w:t>Tanto el mantenimiento preventivo como el correctivo deberán ser realizados por cuenta del proveedor, empleando refacciones nuevas y originales, a efecto de que se garantice la operación en óptimas condiciones y duración de los equipos. Se deb</w:t>
      </w:r>
      <w:r w:rsidR="00982315">
        <w:rPr>
          <w:rFonts w:ascii="Calibri" w:hAnsi="Calibri"/>
        </w:rPr>
        <w:t xml:space="preserve">e asegurar que sea por personal </w:t>
      </w:r>
      <w:r w:rsidRPr="00F64E37">
        <w:rPr>
          <w:rFonts w:ascii="Calibri" w:hAnsi="Calibri"/>
        </w:rPr>
        <w:t>capacitado</w:t>
      </w:r>
      <w:r w:rsidR="00FE3002">
        <w:rPr>
          <w:rFonts w:ascii="Calibri" w:hAnsi="Calibri"/>
        </w:rPr>
        <w:t xml:space="preserve"> y certificado por la marca con la que participe, por lo que deberá anexar constancias para su comprobación</w:t>
      </w:r>
      <w:r w:rsidRPr="00F64E37">
        <w:rPr>
          <w:rFonts w:ascii="Calibri" w:hAnsi="Calibri"/>
        </w:rPr>
        <w:t>.</w:t>
      </w:r>
    </w:p>
    <w:p w14:paraId="4D2A88D6" w14:textId="77777777" w:rsidR="002B3CA9" w:rsidRDefault="002B3CA9" w:rsidP="002B3CA9">
      <w:pPr>
        <w:jc w:val="both"/>
        <w:rPr>
          <w:rFonts w:ascii="Calibri" w:hAnsi="Calibri"/>
        </w:rPr>
      </w:pPr>
      <w:r w:rsidRPr="00F64E37">
        <w:rPr>
          <w:rFonts w:ascii="Calibri" w:hAnsi="Calibri"/>
        </w:rPr>
        <w:t>El proveedor deberá proporcionar el servicio de mantenimiento preventivo y correctivo y actualizaciones correspondientes para los equipos. Para el caso de fallas en los equipos el proveedor deberá tener una respuesta en un tiempo no mayor a 6 horas. Brindar asistencia técnica dentro de un lapso no mayor a 24 horas y efectuar las reparaciones necesarias correctivas específicas correspondientes en un lapso no mayor de 48 horas, en caso de necesitarse más tiempo por motivo de refacciones o licencias el proveedor tendrá un tiem</w:t>
      </w:r>
      <w:r w:rsidR="00982315">
        <w:rPr>
          <w:rFonts w:ascii="Calibri" w:hAnsi="Calibri"/>
        </w:rPr>
        <w:t>po máximo de arreglo de 4 días naturales</w:t>
      </w:r>
      <w:r w:rsidRPr="00F64E37">
        <w:rPr>
          <w:rFonts w:ascii="Calibri" w:hAnsi="Calibri"/>
        </w:rPr>
        <w:t xml:space="preserve">, estos tiempos son contados partir de la notificación del área al proveedor, posteriores al reporte escrito recibido por cualquier vía: electrónica, telefónica (el deberá de asignar un numero de reporte) y/o personal adjunto a constancia escrita.  </w:t>
      </w:r>
    </w:p>
    <w:p w14:paraId="73D05D05" w14:textId="77777777" w:rsidR="002B3CA9" w:rsidRPr="00F64E37" w:rsidRDefault="002B3CA9" w:rsidP="002B3CA9">
      <w:pPr>
        <w:jc w:val="both"/>
        <w:rPr>
          <w:rFonts w:ascii="Calibri" w:hAnsi="Calibri"/>
        </w:rPr>
      </w:pPr>
      <w:r w:rsidRPr="00F64E37">
        <w:rPr>
          <w:rFonts w:ascii="Calibri" w:hAnsi="Calibri"/>
        </w:rPr>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14:paraId="1B8D7C82" w14:textId="77777777" w:rsidR="002B3CA9" w:rsidRDefault="002B3CA9" w:rsidP="002B3CA9">
      <w:pPr>
        <w:jc w:val="both"/>
        <w:rPr>
          <w:rFonts w:ascii="Calibri" w:hAnsi="Calibri"/>
        </w:rPr>
      </w:pPr>
      <w:r w:rsidRPr="00F64E37">
        <w:rPr>
          <w:rFonts w:ascii="Calibri" w:hAnsi="Calibri"/>
        </w:rPr>
        <w:t>En caso de que no sea factible proporcionar un equipo de respaldo, el proveedor adjudicado será responsable de proporcionar por su cuenta y cargo los servicios que se interrumpan.</w:t>
      </w:r>
    </w:p>
    <w:p w14:paraId="1DEE4C17" w14:textId="77777777" w:rsidR="002B3CA9" w:rsidRPr="00F64E37" w:rsidRDefault="002B3CA9" w:rsidP="002B3CA9">
      <w:pPr>
        <w:jc w:val="both"/>
        <w:rPr>
          <w:rFonts w:ascii="Calibri" w:hAnsi="Calibri"/>
        </w:rPr>
      </w:pPr>
      <w:r w:rsidRPr="00F64E37">
        <w:rPr>
          <w:rFonts w:ascii="Calibri" w:hAnsi="Calibri"/>
        </w:rPr>
        <w:t>El Proveedor, durante la vigencia de la garantía de los bienes, deberá realizar las actualizaciones respectivas del software, que permita mantener actualizado el equipo, sin costo adicional.</w:t>
      </w:r>
    </w:p>
    <w:p w14:paraId="59E9BF0F" w14:textId="77777777" w:rsidR="002B3CA9" w:rsidRPr="00F64E37" w:rsidRDefault="002B3CA9" w:rsidP="002B3CA9">
      <w:pPr>
        <w:jc w:val="both"/>
        <w:rPr>
          <w:rFonts w:ascii="Calibri" w:hAnsi="Calibri"/>
        </w:rPr>
      </w:pPr>
      <w:r w:rsidRPr="00F64E37">
        <w:rPr>
          <w:rFonts w:ascii="Calibri" w:hAnsi="Calibri"/>
        </w:rPr>
        <w:lastRenderedPageBreak/>
        <w:t xml:space="preserve">En caso de desgaste o averías del mobiliario el proveedor se hace responsable de la reparación y de reemplazar el equipo u objeto en el tiempo de ausencia para no verse afectado las citas programadas.  </w:t>
      </w:r>
    </w:p>
    <w:p w14:paraId="77537ED5" w14:textId="77777777" w:rsidR="002B3CA9" w:rsidRPr="00F64E37" w:rsidRDefault="002B3CA9" w:rsidP="00234950">
      <w:pPr>
        <w:pStyle w:val="Prrafodelista"/>
        <w:numPr>
          <w:ilvl w:val="0"/>
          <w:numId w:val="8"/>
        </w:numPr>
        <w:jc w:val="both"/>
        <w:rPr>
          <w:rFonts w:ascii="Calibri" w:hAnsi="Calibri"/>
          <w:b/>
        </w:rPr>
      </w:pPr>
      <w:r w:rsidRPr="00F64E37">
        <w:rPr>
          <w:rFonts w:ascii="Calibri" w:hAnsi="Calibri"/>
          <w:b/>
        </w:rPr>
        <w:t>ASISTENCIA TÉCNICA Y CAPACITACIÓN</w:t>
      </w:r>
    </w:p>
    <w:p w14:paraId="5935B028" w14:textId="77777777" w:rsidR="002B3CA9" w:rsidRPr="00F64E37" w:rsidRDefault="002B3CA9" w:rsidP="002B3CA9">
      <w:pPr>
        <w:jc w:val="both"/>
        <w:rPr>
          <w:rFonts w:ascii="Calibri" w:hAnsi="Calibri"/>
        </w:rPr>
      </w:pPr>
      <w:r w:rsidRPr="00F64E37">
        <w:rPr>
          <w:rFonts w:ascii="Calibri" w:hAnsi="Calibri"/>
        </w:rPr>
        <w:t>Será obligación del proveedor el otorgar soporte y asistencia técnica local a la Institución, cuando ésta así lo requiera durante la vigencia del contrato de los equipos que le resulten adjudicados, para lo cual deberá otorgar todas las facilidades que permitan la comunicación entre usuarios y personal técnico</w:t>
      </w:r>
      <w:r w:rsidR="00FE3002">
        <w:rPr>
          <w:rFonts w:ascii="Calibri" w:hAnsi="Calibri"/>
        </w:rPr>
        <w:t xml:space="preserve"> del proveedor y del fabricante mediante un sistema web, con accesos en tiempo real,</w:t>
      </w:r>
      <w:r w:rsidR="008B5B49">
        <w:rPr>
          <w:rFonts w:ascii="Calibri" w:hAnsi="Calibri"/>
        </w:rPr>
        <w:t xml:space="preserve"> </w:t>
      </w:r>
      <w:r w:rsidR="00982315">
        <w:rPr>
          <w:rFonts w:ascii="Calibri" w:hAnsi="Calibri"/>
        </w:rPr>
        <w:t xml:space="preserve">de </w:t>
      </w:r>
      <w:r w:rsidR="008B5B49">
        <w:rPr>
          <w:rFonts w:ascii="Calibri" w:hAnsi="Calibri"/>
        </w:rPr>
        <w:t>cualquier equipo, y poder ver</w:t>
      </w:r>
      <w:r w:rsidR="00982315">
        <w:rPr>
          <w:rFonts w:ascii="Calibri" w:hAnsi="Calibri"/>
        </w:rPr>
        <w:t xml:space="preserve">ificar el estatus de mismo, proporcionando </w:t>
      </w:r>
      <w:r w:rsidR="008B5B49">
        <w:rPr>
          <w:rFonts w:ascii="Calibri" w:hAnsi="Calibri"/>
        </w:rPr>
        <w:t xml:space="preserve">claves </w:t>
      </w:r>
      <w:r w:rsidR="00982315">
        <w:rPr>
          <w:rFonts w:ascii="Calibri" w:hAnsi="Calibri"/>
        </w:rPr>
        <w:t xml:space="preserve">de acceso personalizado, y que </w:t>
      </w:r>
      <w:r w:rsidR="008B5B49">
        <w:rPr>
          <w:rFonts w:ascii="Calibri" w:hAnsi="Calibri"/>
        </w:rPr>
        <w:t xml:space="preserve"> permitan revisar y descargar las plantillas de todos los reportes generados por el sitio; bitácoras para efectos de revisión (así como mandar de manera automática, correos electrónicos a personal de servicio y/o soporte técnico de la empresa oferente, cada vez que se realice una actualización del estatus del reporte) Anexar manual en español del sistema web y dar capacitación de su uso.</w:t>
      </w:r>
    </w:p>
    <w:p w14:paraId="7BB3D541" w14:textId="77777777" w:rsidR="002B3CA9" w:rsidRDefault="002B3CA9" w:rsidP="002B3CA9">
      <w:pPr>
        <w:jc w:val="both"/>
        <w:rPr>
          <w:rFonts w:ascii="Calibri" w:hAnsi="Calibri"/>
        </w:rPr>
      </w:pPr>
      <w:r w:rsidRPr="00F64E37">
        <w:rPr>
          <w:rFonts w:ascii="Calibri" w:hAnsi="Calibri"/>
        </w:rPr>
        <w:t>El licitante deberá entregar calendario de capacitación, instalación y puesta en marcha, para el caso de las capacitaciones se incluirá según lo requerido para personal operativo y otro personal técnico, todo esto sin c</w:t>
      </w:r>
      <w:r w:rsidR="00AA56ED">
        <w:rPr>
          <w:rFonts w:ascii="Calibri" w:hAnsi="Calibri"/>
        </w:rPr>
        <w:t>osto adicional para el Institución</w:t>
      </w:r>
      <w:r w:rsidRPr="00F64E37">
        <w:rPr>
          <w:rFonts w:ascii="Calibri" w:hAnsi="Calibri"/>
        </w:rPr>
        <w:t xml:space="preserve">. Se deberán notificar las fechas al menos 5 días hábiles antes, al correo que designe la Institución. La capacitación deberá ser para el personal médico, de enfermería y técnico, en aspectos de operación, funcionamiento y cambio de consumibles y accesorios, al personal de servicios de intendencia en aspectos de limpieza y sanitización del equipo de forma obligatoria en estos dos casos y al personal especializado en mantenimiento sobre el cambio de consumibles y accesorios de acceso restringido o complejo, así como calibraciones derivadas de estos reemplazos esto como punto opcional para cada uno de los participantes. En los que se incluiría inspecciones periódicas no asociadas al mantenimiento preventivo, para asegurar aspectos de calidad y seguridad en el uso del dispositivo. </w:t>
      </w:r>
    </w:p>
    <w:p w14:paraId="3D091FF1" w14:textId="77777777" w:rsidR="00AA56ED" w:rsidRPr="00F64E37" w:rsidRDefault="00AA56ED" w:rsidP="002B3CA9">
      <w:pPr>
        <w:jc w:val="both"/>
        <w:rPr>
          <w:rFonts w:ascii="Calibri" w:hAnsi="Calibri"/>
        </w:rPr>
      </w:pPr>
      <w:r>
        <w:rPr>
          <w:rFonts w:ascii="Calibri" w:hAnsi="Calibri"/>
        </w:rPr>
        <w:t>El licitante deberá brindar capacitación del manejo y atención inmediata ante</w:t>
      </w:r>
      <w:r w:rsidR="00982315">
        <w:rPr>
          <w:rFonts w:ascii="Calibri" w:hAnsi="Calibri"/>
        </w:rPr>
        <w:t xml:space="preserve"> Reacciones A</w:t>
      </w:r>
      <w:r>
        <w:rPr>
          <w:rFonts w:ascii="Calibri" w:hAnsi="Calibri"/>
        </w:rPr>
        <w:t>dversas</w:t>
      </w:r>
      <w:r w:rsidR="00982315">
        <w:rPr>
          <w:rFonts w:ascii="Calibri" w:hAnsi="Calibri"/>
        </w:rPr>
        <w:t xml:space="preserve"> por el uso de</w:t>
      </w:r>
      <w:r>
        <w:rPr>
          <w:rFonts w:ascii="Calibri" w:hAnsi="Calibri"/>
        </w:rPr>
        <w:t xml:space="preserve"> medios de contraste por personal médico calificado.</w:t>
      </w:r>
    </w:p>
    <w:p w14:paraId="221B27CF" w14:textId="77777777" w:rsidR="002B3CA9" w:rsidRPr="00F64E37" w:rsidRDefault="002B3CA9" w:rsidP="00234950">
      <w:pPr>
        <w:pStyle w:val="Prrafodelista"/>
        <w:numPr>
          <w:ilvl w:val="0"/>
          <w:numId w:val="8"/>
        </w:numPr>
        <w:jc w:val="both"/>
        <w:rPr>
          <w:rFonts w:ascii="Calibri" w:hAnsi="Calibri"/>
          <w:b/>
        </w:rPr>
      </w:pPr>
      <w:r w:rsidRPr="00F64E37">
        <w:rPr>
          <w:rFonts w:ascii="Calibri" w:hAnsi="Calibri"/>
          <w:b/>
        </w:rPr>
        <w:t xml:space="preserve">CONDICIONES DE LA PRESTACIÓN DEL SERVICIO. </w:t>
      </w:r>
    </w:p>
    <w:p w14:paraId="06D30014" w14:textId="77777777" w:rsidR="002B3CA9" w:rsidRPr="00F64E37" w:rsidRDefault="002B3CA9" w:rsidP="002B3CA9">
      <w:pPr>
        <w:jc w:val="both"/>
        <w:rPr>
          <w:rFonts w:ascii="Calibri" w:hAnsi="Calibri"/>
        </w:rPr>
      </w:pPr>
      <w:r w:rsidRPr="00F64E37">
        <w:rPr>
          <w:rFonts w:ascii="Calibri" w:hAnsi="Calibri"/>
        </w:rPr>
        <w:t xml:space="preserve">Una vez que se emita el fallo adjudicatario, el licitante que resulte ganador deberá realizar la coordinación y acciones en la institución asignada para ofrecer el servicio en tiempo y forma.  </w:t>
      </w:r>
    </w:p>
    <w:p w14:paraId="67B6A481" w14:textId="77777777" w:rsidR="002B3CA9" w:rsidRPr="00F64E37" w:rsidRDefault="002B3CA9" w:rsidP="002B3CA9">
      <w:pPr>
        <w:jc w:val="both"/>
        <w:rPr>
          <w:rFonts w:ascii="Calibri" w:hAnsi="Calibri"/>
        </w:rPr>
      </w:pPr>
      <w:r w:rsidRPr="00F64E37">
        <w:rPr>
          <w:rFonts w:ascii="Calibri" w:hAnsi="Calibri"/>
        </w:rPr>
        <w:t xml:space="preserve">Una vez concluidos los trabajos de la instalación de los equipos y para dar por recibidos los mismos a entera satisfacción de la institución, se formalizará la entrega de los equipos con un documento el cual contendrá en forma detallada las características tecnológicas contenidas en las presentes bases.  </w:t>
      </w:r>
    </w:p>
    <w:p w14:paraId="64D1CD44" w14:textId="77777777" w:rsidR="002B3CA9" w:rsidRPr="00F64E37" w:rsidRDefault="002B3CA9" w:rsidP="002B3CA9">
      <w:pPr>
        <w:jc w:val="both"/>
        <w:rPr>
          <w:rFonts w:ascii="Calibri" w:hAnsi="Calibri"/>
        </w:rPr>
      </w:pPr>
      <w:r w:rsidRPr="00F64E37">
        <w:rPr>
          <w:rFonts w:ascii="Calibri" w:hAnsi="Calibri"/>
        </w:rPr>
        <w:lastRenderedPageBreak/>
        <w:t xml:space="preserve">Si a la recepción de los equipos, éstos no cumplen con las condiciones establecidas en estas bases el Departamento no firmará el documento, en ese momento y en presencia del proveedor elaborarán el acta de no recepción la que deberá contener la fecha, lugar, el nombre o razón social de la empresa, nombre del representante, nombre y firma de quienes la elaboran y detalle de las causas que lo motivan, cuando:  </w:t>
      </w:r>
    </w:p>
    <w:p w14:paraId="5FBC92D3" w14:textId="77777777" w:rsidR="002B3CA9" w:rsidRPr="00F64E37" w:rsidRDefault="002B3CA9" w:rsidP="002B3CA9">
      <w:pPr>
        <w:pStyle w:val="Prrafodelista"/>
        <w:numPr>
          <w:ilvl w:val="0"/>
          <w:numId w:val="12"/>
        </w:numPr>
        <w:jc w:val="both"/>
        <w:rPr>
          <w:rFonts w:ascii="Calibri" w:hAnsi="Calibri"/>
        </w:rPr>
      </w:pPr>
      <w:r w:rsidRPr="00F64E37">
        <w:rPr>
          <w:rFonts w:ascii="Calibri" w:hAnsi="Calibri"/>
        </w:rPr>
        <w:t xml:space="preserve">Exista diferencia entre las características técnicas de los equipos y el equipo instalado, conforme a lo especificado en los puntos anteriores y lo contenido en estas bases. </w:t>
      </w:r>
    </w:p>
    <w:p w14:paraId="6059A2C9" w14:textId="77777777" w:rsidR="002B3CA9" w:rsidRPr="00F64E37" w:rsidRDefault="002B3CA9" w:rsidP="002B3CA9">
      <w:pPr>
        <w:pStyle w:val="Prrafodelista"/>
        <w:numPr>
          <w:ilvl w:val="0"/>
          <w:numId w:val="12"/>
        </w:numPr>
        <w:jc w:val="both"/>
        <w:rPr>
          <w:rFonts w:ascii="Calibri" w:hAnsi="Calibri"/>
        </w:rPr>
      </w:pPr>
      <w:r w:rsidRPr="00F64E37">
        <w:rPr>
          <w:rFonts w:ascii="Calibri" w:hAnsi="Calibri"/>
        </w:rPr>
        <w:t xml:space="preserve">Los equipos que no correspondan a los contenidos en el contrato. </w:t>
      </w:r>
    </w:p>
    <w:p w14:paraId="69C6D5B4" w14:textId="77777777" w:rsidR="002B3CA9" w:rsidRPr="00F64E37" w:rsidRDefault="002B3CA9" w:rsidP="002B3CA9">
      <w:pPr>
        <w:pStyle w:val="Prrafodelista"/>
        <w:numPr>
          <w:ilvl w:val="0"/>
          <w:numId w:val="12"/>
        </w:numPr>
        <w:jc w:val="both"/>
        <w:rPr>
          <w:rFonts w:ascii="Calibri" w:hAnsi="Calibri"/>
        </w:rPr>
      </w:pPr>
      <w:r w:rsidRPr="00F64E37">
        <w:rPr>
          <w:rFonts w:ascii="Calibri" w:hAnsi="Calibri"/>
        </w:rPr>
        <w:t>No se encuentren en plena capacidad de funcionamiento para realizar estudios</w:t>
      </w:r>
    </w:p>
    <w:p w14:paraId="0C014EAF" w14:textId="77777777" w:rsidR="002B3CA9" w:rsidRPr="00F64E37" w:rsidRDefault="002B3CA9" w:rsidP="002B3CA9">
      <w:pPr>
        <w:pStyle w:val="Prrafodelista"/>
        <w:numPr>
          <w:ilvl w:val="0"/>
          <w:numId w:val="12"/>
        </w:numPr>
        <w:jc w:val="both"/>
        <w:rPr>
          <w:rFonts w:ascii="Calibri" w:hAnsi="Calibri"/>
        </w:rPr>
      </w:pPr>
      <w:r w:rsidRPr="00F64E37">
        <w:rPr>
          <w:rFonts w:ascii="Calibri" w:hAnsi="Calibri"/>
        </w:rPr>
        <w:t xml:space="preserve">Las acciones de adecuación física no se encuentren dentro de lo establecido en el contrato. </w:t>
      </w:r>
    </w:p>
    <w:p w14:paraId="29343F75" w14:textId="77777777" w:rsidR="002B3CA9" w:rsidRPr="00F64E37" w:rsidRDefault="002B3CA9" w:rsidP="002B3CA9">
      <w:pPr>
        <w:jc w:val="both"/>
        <w:rPr>
          <w:rFonts w:ascii="Calibri" w:hAnsi="Calibri"/>
        </w:rPr>
      </w:pPr>
      <w:r w:rsidRPr="00F64E37">
        <w:rPr>
          <w:rFonts w:ascii="Calibri" w:hAnsi="Calibri"/>
        </w:rPr>
        <w:t xml:space="preserve">Una vez elaborada el acta, se le entregará una copia al proveedor y éste deberá realizar las acciones correspondientes para resolver los problemas identificados en </w:t>
      </w:r>
      <w:r w:rsidRPr="005E60DC">
        <w:rPr>
          <w:rFonts w:ascii="Calibri" w:hAnsi="Calibri"/>
        </w:rPr>
        <w:t xml:space="preserve">un plazo </w:t>
      </w:r>
      <w:r w:rsidR="005E60DC" w:rsidRPr="005E60DC">
        <w:rPr>
          <w:rFonts w:ascii="Calibri" w:hAnsi="Calibri"/>
        </w:rPr>
        <w:t>no mayor a 4</w:t>
      </w:r>
      <w:r w:rsidRPr="005E60DC">
        <w:rPr>
          <w:rFonts w:ascii="Calibri" w:hAnsi="Calibri"/>
        </w:rPr>
        <w:t xml:space="preserve"> días naturales</w:t>
      </w:r>
      <w:r w:rsidRPr="00F64E37">
        <w:rPr>
          <w:rFonts w:ascii="Calibri" w:hAnsi="Calibri"/>
        </w:rPr>
        <w:t xml:space="preserve"> a partir de la fecha de elaboración del acta, se dará por recibido el equipo cuando las causas que generaron el retraso en la recepción queden resueltas a entera satisfacción de la institución.</w:t>
      </w:r>
    </w:p>
    <w:p w14:paraId="5473219A" w14:textId="77777777" w:rsidR="002B3CA9" w:rsidRPr="00F64E37" w:rsidRDefault="002B3CA9" w:rsidP="002B3CA9">
      <w:pPr>
        <w:jc w:val="both"/>
        <w:rPr>
          <w:rFonts w:ascii="Calibri" w:hAnsi="Calibri"/>
        </w:rPr>
      </w:pPr>
      <w:r w:rsidRPr="00F64E37">
        <w:rPr>
          <w:rFonts w:ascii="Calibri" w:hAnsi="Calibri"/>
        </w:rPr>
        <w:t xml:space="preserve">La transportación de los insumos, consumibles, equipos y demás bienes, las maniobras de carga y descarga de los bienes, materiales y los propios equipos en el lugar de entrega e instalación de éstos </w:t>
      </w:r>
      <w:r w:rsidR="005E60DC" w:rsidRPr="00F64E37">
        <w:rPr>
          <w:rFonts w:ascii="Calibri" w:hAnsi="Calibri"/>
        </w:rPr>
        <w:t>últimos,</w:t>
      </w:r>
      <w:r w:rsidRPr="00F64E37">
        <w:rPr>
          <w:rFonts w:ascii="Calibri" w:hAnsi="Calibri"/>
        </w:rPr>
        <w:t xml:space="preserve"> así como su resguardo estarán a cargo del licitante que resulte adjudicado, hasta que estos sean recibidos de conformidad por la institución. </w:t>
      </w:r>
    </w:p>
    <w:p w14:paraId="5FDCF054" w14:textId="77777777" w:rsidR="00F90A6F" w:rsidRPr="004E1A87" w:rsidRDefault="002B3CA9" w:rsidP="002B3CA9">
      <w:pPr>
        <w:jc w:val="both"/>
      </w:pPr>
      <w:r w:rsidRPr="00F64E37">
        <w:rPr>
          <w:rFonts w:ascii="Calibri" w:hAnsi="Calibri"/>
        </w:rPr>
        <w:t>Durante la prestación del servicio, éste 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Cabe resaltar que mientras no se cumpla con las condiciones de la prestación del servicio establecidas en las presentes bases, la institución no dará por aceptado el servicio.</w:t>
      </w:r>
    </w:p>
    <w:sectPr w:rsidR="00F90A6F" w:rsidRPr="004E1A87" w:rsidSect="001A4BB6">
      <w:headerReference w:type="default" r:id="rId7"/>
      <w:footerReference w:type="default" r:id="rId8"/>
      <w:pgSz w:w="12240" w:h="15840"/>
      <w:pgMar w:top="1985" w:right="1701"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DA473" w14:textId="77777777" w:rsidR="00246656" w:rsidRDefault="00246656" w:rsidP="0070419A">
      <w:pPr>
        <w:spacing w:after="0" w:line="240" w:lineRule="auto"/>
      </w:pPr>
      <w:r>
        <w:separator/>
      </w:r>
    </w:p>
  </w:endnote>
  <w:endnote w:type="continuationSeparator" w:id="0">
    <w:p w14:paraId="0A02286A" w14:textId="77777777" w:rsidR="00246656" w:rsidRDefault="00246656" w:rsidP="0070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29338"/>
      <w:docPartObj>
        <w:docPartGallery w:val="Page Numbers (Bottom of Page)"/>
        <w:docPartUnique/>
      </w:docPartObj>
    </w:sdtPr>
    <w:sdtEndPr/>
    <w:sdtContent>
      <w:p w14:paraId="1EF71EF5" w14:textId="16E4D43A" w:rsidR="00F55859" w:rsidRDefault="00F55859">
        <w:pPr>
          <w:pStyle w:val="Piedepgina"/>
          <w:jc w:val="right"/>
        </w:pPr>
        <w:r>
          <w:fldChar w:fldCharType="begin"/>
        </w:r>
        <w:r>
          <w:instrText>PAGE   \* MERGEFORMAT</w:instrText>
        </w:r>
        <w:r>
          <w:fldChar w:fldCharType="separate"/>
        </w:r>
        <w:r w:rsidR="00C206CF" w:rsidRPr="00C206CF">
          <w:rPr>
            <w:noProof/>
            <w:lang w:val="es-ES"/>
          </w:rPr>
          <w:t>1</w:t>
        </w:r>
        <w:r>
          <w:fldChar w:fldCharType="end"/>
        </w:r>
      </w:p>
    </w:sdtContent>
  </w:sdt>
  <w:p w14:paraId="096B5B7F" w14:textId="77777777" w:rsidR="00F55859" w:rsidRDefault="00F558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69A4" w14:textId="77777777" w:rsidR="00246656" w:rsidRDefault="00246656" w:rsidP="0070419A">
      <w:pPr>
        <w:spacing w:after="0" w:line="240" w:lineRule="auto"/>
      </w:pPr>
      <w:r>
        <w:separator/>
      </w:r>
    </w:p>
  </w:footnote>
  <w:footnote w:type="continuationSeparator" w:id="0">
    <w:p w14:paraId="7DAC1759" w14:textId="77777777" w:rsidR="00246656" w:rsidRDefault="00246656" w:rsidP="00704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BAABF" w14:textId="314DF9C8" w:rsidR="001A4BB6" w:rsidRPr="001A4BB6" w:rsidRDefault="001A4BB6" w:rsidP="00C206CF">
    <w:pPr>
      <w:pStyle w:val="Encabezado"/>
      <w:jc w:val="center"/>
      <w:rPr>
        <w:b/>
        <w:sz w:val="20"/>
      </w:rPr>
    </w:pPr>
    <w:r>
      <w:rPr>
        <w:noProof/>
        <w:lang w:eastAsia="es-MX"/>
      </w:rPr>
      <w:drawing>
        <wp:anchor distT="0" distB="0" distL="114300" distR="114300" simplePos="0" relativeHeight="251658240" behindDoc="1" locked="0" layoutInCell="1" allowOverlap="1" wp14:anchorId="4DF04A06" wp14:editId="1E57D417">
          <wp:simplePos x="0" y="0"/>
          <wp:positionH relativeFrom="column">
            <wp:posOffset>-1051560</wp:posOffset>
          </wp:positionH>
          <wp:positionV relativeFrom="paragraph">
            <wp:posOffset>-429260</wp:posOffset>
          </wp:positionV>
          <wp:extent cx="7717790" cy="100488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7790" cy="10048875"/>
                  </a:xfrm>
                  <a:prstGeom prst="rect">
                    <a:avLst/>
                  </a:prstGeom>
                </pic:spPr>
              </pic:pic>
            </a:graphicData>
          </a:graphic>
          <wp14:sizeRelH relativeFrom="page">
            <wp14:pctWidth>0</wp14:pctWidth>
          </wp14:sizeRelH>
          <wp14:sizeRelV relativeFrom="page">
            <wp14:pctHeight>0</wp14:pctHeight>
          </wp14:sizeRelV>
        </wp:anchor>
      </w:drawing>
    </w:r>
    <w:r w:rsidRPr="001A4BB6">
      <w:rPr>
        <w:b/>
        <w:sz w:val="20"/>
      </w:rPr>
      <w:t>PENSIONES CIVILES DEL ESTADO DE CHIHUAHUA</w:t>
    </w:r>
  </w:p>
  <w:p w14:paraId="1E3B574E" w14:textId="4247C53F" w:rsidR="001A4BB6" w:rsidRPr="001A4BB6" w:rsidRDefault="001A4BB6" w:rsidP="00C206CF">
    <w:pPr>
      <w:pStyle w:val="Encabezado"/>
      <w:jc w:val="center"/>
      <w:rPr>
        <w:b/>
        <w:sz w:val="20"/>
      </w:rPr>
    </w:pPr>
    <w:r w:rsidRPr="001A4BB6">
      <w:rPr>
        <w:b/>
        <w:sz w:val="20"/>
      </w:rPr>
      <w:t>LICITACIÓN PÚBLICA PRESENCIAL</w:t>
    </w:r>
    <w:r>
      <w:rPr>
        <w:b/>
        <w:sz w:val="20"/>
      </w:rPr>
      <w:t xml:space="preserve"> </w:t>
    </w:r>
    <w:r w:rsidRPr="001A4BB6">
      <w:rPr>
        <w:b/>
        <w:sz w:val="20"/>
      </w:rPr>
      <w:t>No. PCE-LPP-010-2022</w:t>
    </w:r>
  </w:p>
  <w:p w14:paraId="5376C04E" w14:textId="1F15A175" w:rsidR="001A4BB6" w:rsidRPr="001A4BB6" w:rsidRDefault="001A4BB6" w:rsidP="00C206CF">
    <w:pPr>
      <w:pStyle w:val="Encabezado"/>
      <w:jc w:val="center"/>
      <w:rPr>
        <w:b/>
        <w:sz w:val="20"/>
      </w:rPr>
    </w:pPr>
    <w:r w:rsidRPr="001A4BB6">
      <w:rPr>
        <w:b/>
        <w:sz w:val="20"/>
      </w:rPr>
      <w:t>“ADQUISICIÓN DE INSUMOS DE INYECTOR DE RAYOS X</w:t>
    </w:r>
  </w:p>
  <w:p w14:paraId="74506BFF" w14:textId="668FAF89" w:rsidR="0070419A" w:rsidRDefault="001A4BB6" w:rsidP="00C206CF">
    <w:pPr>
      <w:pStyle w:val="Encabezado"/>
      <w:jc w:val="center"/>
    </w:pPr>
    <w:r w:rsidRPr="001A4BB6">
      <w:rPr>
        <w:b/>
        <w:sz w:val="20"/>
      </w:rPr>
      <w:t>(MEDIOS DE CONTRASTE) CON EQUIPO EN COMODATO.</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226A"/>
    <w:multiLevelType w:val="multilevel"/>
    <w:tmpl w:val="F33613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D06665"/>
    <w:multiLevelType w:val="multilevel"/>
    <w:tmpl w:val="E4D09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7E1D31"/>
    <w:multiLevelType w:val="hybridMultilevel"/>
    <w:tmpl w:val="26727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FF6717"/>
    <w:multiLevelType w:val="hybridMultilevel"/>
    <w:tmpl w:val="397C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03395E"/>
    <w:multiLevelType w:val="hybridMultilevel"/>
    <w:tmpl w:val="47342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530271"/>
    <w:multiLevelType w:val="hybridMultilevel"/>
    <w:tmpl w:val="9C7E0870"/>
    <w:lvl w:ilvl="0" w:tplc="9214916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61661AC"/>
    <w:multiLevelType w:val="hybridMultilevel"/>
    <w:tmpl w:val="41CECF84"/>
    <w:lvl w:ilvl="0" w:tplc="08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A94852"/>
    <w:multiLevelType w:val="multilevel"/>
    <w:tmpl w:val="6EA4EC3E"/>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13E43EB"/>
    <w:multiLevelType w:val="hybridMultilevel"/>
    <w:tmpl w:val="B8FE8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286738F"/>
    <w:multiLevelType w:val="multilevel"/>
    <w:tmpl w:val="237CAE0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34349F6"/>
    <w:multiLevelType w:val="hybridMultilevel"/>
    <w:tmpl w:val="B7604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CB7462"/>
    <w:multiLevelType w:val="hybridMultilevel"/>
    <w:tmpl w:val="404E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12"/>
  </w:num>
  <w:num w:numId="5">
    <w:abstractNumId w:val="7"/>
  </w:num>
  <w:num w:numId="6">
    <w:abstractNumId w:val="4"/>
  </w:num>
  <w:num w:numId="7">
    <w:abstractNumId w:val="14"/>
  </w:num>
  <w:num w:numId="8">
    <w:abstractNumId w:val="1"/>
  </w:num>
  <w:num w:numId="9">
    <w:abstractNumId w:val="0"/>
  </w:num>
  <w:num w:numId="10">
    <w:abstractNumId w:val="8"/>
  </w:num>
  <w:num w:numId="11">
    <w:abstractNumId w:val="5"/>
  </w:num>
  <w:num w:numId="12">
    <w:abstractNumId w:val="2"/>
  </w:num>
  <w:num w:numId="13">
    <w:abstractNumId w:val="11"/>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A7"/>
    <w:rsid w:val="00000B88"/>
    <w:rsid w:val="00003C44"/>
    <w:rsid w:val="00043548"/>
    <w:rsid w:val="000A79C3"/>
    <w:rsid w:val="001255F1"/>
    <w:rsid w:val="00130CD7"/>
    <w:rsid w:val="00166101"/>
    <w:rsid w:val="00173C66"/>
    <w:rsid w:val="00176A41"/>
    <w:rsid w:val="0018726C"/>
    <w:rsid w:val="001A2E22"/>
    <w:rsid w:val="001A4BB6"/>
    <w:rsid w:val="001A56B1"/>
    <w:rsid w:val="001B685D"/>
    <w:rsid w:val="001D0B8F"/>
    <w:rsid w:val="001E5A08"/>
    <w:rsid w:val="001F25B4"/>
    <w:rsid w:val="00204F87"/>
    <w:rsid w:val="00234950"/>
    <w:rsid w:val="00235507"/>
    <w:rsid w:val="00246656"/>
    <w:rsid w:val="002517E8"/>
    <w:rsid w:val="002729CB"/>
    <w:rsid w:val="002A3318"/>
    <w:rsid w:val="002B3CA9"/>
    <w:rsid w:val="00361737"/>
    <w:rsid w:val="00384B09"/>
    <w:rsid w:val="00397939"/>
    <w:rsid w:val="004E1A87"/>
    <w:rsid w:val="005054CA"/>
    <w:rsid w:val="00545FD1"/>
    <w:rsid w:val="00547698"/>
    <w:rsid w:val="0055131E"/>
    <w:rsid w:val="00576773"/>
    <w:rsid w:val="005C24ED"/>
    <w:rsid w:val="005E60DC"/>
    <w:rsid w:val="00625A9F"/>
    <w:rsid w:val="00693E5E"/>
    <w:rsid w:val="006A0F3F"/>
    <w:rsid w:val="006C5ECB"/>
    <w:rsid w:val="006D0170"/>
    <w:rsid w:val="0070419A"/>
    <w:rsid w:val="00753FD9"/>
    <w:rsid w:val="00793569"/>
    <w:rsid w:val="007D27F4"/>
    <w:rsid w:val="008048B0"/>
    <w:rsid w:val="00865D62"/>
    <w:rsid w:val="008B5B49"/>
    <w:rsid w:val="009235DB"/>
    <w:rsid w:val="00924C99"/>
    <w:rsid w:val="00965450"/>
    <w:rsid w:val="00982315"/>
    <w:rsid w:val="0098717A"/>
    <w:rsid w:val="009A3345"/>
    <w:rsid w:val="009A39F0"/>
    <w:rsid w:val="009A5DE7"/>
    <w:rsid w:val="009B0253"/>
    <w:rsid w:val="009C7976"/>
    <w:rsid w:val="00A210FD"/>
    <w:rsid w:val="00A50600"/>
    <w:rsid w:val="00A524E9"/>
    <w:rsid w:val="00A711AC"/>
    <w:rsid w:val="00AA56ED"/>
    <w:rsid w:val="00B130BD"/>
    <w:rsid w:val="00B1458A"/>
    <w:rsid w:val="00B21FBB"/>
    <w:rsid w:val="00B31EA7"/>
    <w:rsid w:val="00B55A6A"/>
    <w:rsid w:val="00C0498F"/>
    <w:rsid w:val="00C11608"/>
    <w:rsid w:val="00C206CF"/>
    <w:rsid w:val="00C20778"/>
    <w:rsid w:val="00C3114A"/>
    <w:rsid w:val="00C33420"/>
    <w:rsid w:val="00CD2EF0"/>
    <w:rsid w:val="00D05BFC"/>
    <w:rsid w:val="00D46DC6"/>
    <w:rsid w:val="00D94EC8"/>
    <w:rsid w:val="00DD5E12"/>
    <w:rsid w:val="00DF59A8"/>
    <w:rsid w:val="00E005E8"/>
    <w:rsid w:val="00E871F5"/>
    <w:rsid w:val="00EB1B72"/>
    <w:rsid w:val="00ED2D6E"/>
    <w:rsid w:val="00EE687D"/>
    <w:rsid w:val="00F432FF"/>
    <w:rsid w:val="00F55859"/>
    <w:rsid w:val="00F57FBF"/>
    <w:rsid w:val="00F7230A"/>
    <w:rsid w:val="00F73A02"/>
    <w:rsid w:val="00F84871"/>
    <w:rsid w:val="00F90A6F"/>
    <w:rsid w:val="00FB4E3E"/>
    <w:rsid w:val="00FC51E9"/>
    <w:rsid w:val="00FD0EEC"/>
    <w:rsid w:val="00FE30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2AF6"/>
  <w15:docId w15:val="{2932025E-AD3F-4C43-A414-1B9A5CF0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0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20778"/>
    <w:pPr>
      <w:ind w:left="720"/>
      <w:contextualSpacing/>
    </w:pPr>
  </w:style>
  <w:style w:type="paragraph" w:styleId="Textodeglobo">
    <w:name w:val="Balloon Text"/>
    <w:basedOn w:val="Normal"/>
    <w:link w:val="TextodegloboCar"/>
    <w:uiPriority w:val="99"/>
    <w:semiHidden/>
    <w:unhideWhenUsed/>
    <w:rsid w:val="008048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8B0"/>
    <w:rPr>
      <w:rFonts w:ascii="Segoe UI" w:hAnsi="Segoe UI" w:cs="Segoe UI"/>
      <w:sz w:val="18"/>
      <w:szCs w:val="18"/>
    </w:rPr>
  </w:style>
  <w:style w:type="paragraph" w:styleId="Encabezado">
    <w:name w:val="header"/>
    <w:basedOn w:val="Normal"/>
    <w:link w:val="EncabezadoCar"/>
    <w:uiPriority w:val="99"/>
    <w:unhideWhenUsed/>
    <w:rsid w:val="007041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419A"/>
  </w:style>
  <w:style w:type="paragraph" w:styleId="Piedepgina">
    <w:name w:val="footer"/>
    <w:basedOn w:val="Normal"/>
    <w:link w:val="PiedepginaCar"/>
    <w:uiPriority w:val="99"/>
    <w:unhideWhenUsed/>
    <w:rsid w:val="007041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419A"/>
  </w:style>
  <w:style w:type="character" w:styleId="Refdecomentario">
    <w:name w:val="annotation reference"/>
    <w:basedOn w:val="Fuentedeprrafopredeter"/>
    <w:uiPriority w:val="99"/>
    <w:semiHidden/>
    <w:unhideWhenUsed/>
    <w:rsid w:val="002729CB"/>
    <w:rPr>
      <w:sz w:val="16"/>
      <w:szCs w:val="16"/>
    </w:rPr>
  </w:style>
  <w:style w:type="paragraph" w:styleId="Textocomentario">
    <w:name w:val="annotation text"/>
    <w:basedOn w:val="Normal"/>
    <w:link w:val="TextocomentarioCar"/>
    <w:uiPriority w:val="99"/>
    <w:semiHidden/>
    <w:unhideWhenUsed/>
    <w:rsid w:val="002729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29CB"/>
    <w:rPr>
      <w:sz w:val="20"/>
      <w:szCs w:val="20"/>
    </w:rPr>
  </w:style>
  <w:style w:type="paragraph" w:styleId="Asuntodelcomentario">
    <w:name w:val="annotation subject"/>
    <w:basedOn w:val="Textocomentario"/>
    <w:next w:val="Textocomentario"/>
    <w:link w:val="AsuntodelcomentarioCar"/>
    <w:uiPriority w:val="99"/>
    <w:semiHidden/>
    <w:unhideWhenUsed/>
    <w:rsid w:val="002729CB"/>
    <w:rPr>
      <w:b/>
      <w:bCs/>
    </w:rPr>
  </w:style>
  <w:style w:type="character" w:customStyle="1" w:styleId="AsuntodelcomentarioCar">
    <w:name w:val="Asunto del comentario Car"/>
    <w:basedOn w:val="TextocomentarioCar"/>
    <w:link w:val="Asuntodelcomentario"/>
    <w:uiPriority w:val="99"/>
    <w:semiHidden/>
    <w:rsid w:val="00272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2164</Words>
  <Characters>11908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Stefany Beltrán Rosales</dc:creator>
  <cp:lastModifiedBy>Tania Jacqueline Gonzalez Juarez</cp:lastModifiedBy>
  <cp:revision>2</cp:revision>
  <cp:lastPrinted>2021-07-22T19:36:00Z</cp:lastPrinted>
  <dcterms:created xsi:type="dcterms:W3CDTF">2021-12-20T23:15:00Z</dcterms:created>
  <dcterms:modified xsi:type="dcterms:W3CDTF">2021-12-20T23:15:00Z</dcterms:modified>
</cp:coreProperties>
</file>